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C01A88">
        <w:trPr>
          <w:trHeight w:hRule="exact" w:val="227"/>
        </w:trPr>
        <w:tc>
          <w:tcPr>
            <w:tcW w:w="935" w:type="dxa"/>
            <w:vAlign w:val="center"/>
          </w:tcPr>
          <w:p w:rsidR="00C01A88" w:rsidRDefault="00C01A88" w:rsidP="008C7D44">
            <w:pPr>
              <w:pStyle w:val="dajtabulky"/>
            </w:pPr>
          </w:p>
        </w:tc>
        <w:tc>
          <w:tcPr>
            <w:tcW w:w="6977" w:type="dxa"/>
            <w:vAlign w:val="center"/>
          </w:tcPr>
          <w:p w:rsidR="00C01A88" w:rsidRDefault="00C01A88" w:rsidP="008C7D44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:rsidR="00C01A88" w:rsidRDefault="00C01A88" w:rsidP="008C7D44">
            <w:pPr>
              <w:pStyle w:val="dajtabulky"/>
            </w:pPr>
          </w:p>
        </w:tc>
      </w:tr>
      <w:tr w:rsidR="00C01A88">
        <w:trPr>
          <w:trHeight w:hRule="exact" w:val="227"/>
        </w:trPr>
        <w:tc>
          <w:tcPr>
            <w:tcW w:w="935" w:type="dxa"/>
            <w:vAlign w:val="center"/>
          </w:tcPr>
          <w:p w:rsidR="00C01A88" w:rsidRDefault="00D82B62" w:rsidP="00C01487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:rsidR="00C01A88" w:rsidRDefault="00D82B62" w:rsidP="008C7D44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:rsidR="00C01A88" w:rsidRDefault="00D82B62" w:rsidP="00C01487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:rsidR="00C01A88" w:rsidRDefault="00C01A88" w:rsidP="000B0E78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C01A88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C01A88" w:rsidRDefault="00D82B62" w:rsidP="00B8024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C01A88" w:rsidRDefault="00D82B62" w:rsidP="0046155E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:rsidR="00C01A88" w:rsidRDefault="00D82B62" w:rsidP="0046155E">
            <w:pPr>
              <w:pStyle w:val="Firma"/>
            </w:pPr>
            <w:r>
              <w:t xml:space="preserve">Projektová a inženýrská společnost </w:t>
            </w:r>
          </w:p>
          <w:p w:rsidR="00C01A88" w:rsidRDefault="00D82B62" w:rsidP="0046155E">
            <w:pPr>
              <w:pStyle w:val="Firma"/>
            </w:pPr>
            <w:r>
              <w:t>Palackého tř. 12, 612 00 Brno</w:t>
            </w:r>
          </w:p>
          <w:p w:rsidR="00C01A88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:rsidR="00C01A88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:rsidR="00C01A88" w:rsidRDefault="00D82B62" w:rsidP="0046155E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C01A88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C01A88" w:rsidRDefault="00D82B62" w:rsidP="00C01487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C01A88" w:rsidRDefault="00D82B62" w:rsidP="008128D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Jan Polá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Jan Polášek</w:t>
            </w:r>
            <w:r>
              <w:fldChar w:fldCharType="end"/>
            </w:r>
            <w:bookmarkEnd w:id="0"/>
          </w:p>
        </w:tc>
      </w:tr>
      <w:tr w:rsidR="00C01A8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C01A88" w:rsidRDefault="00C62333" w:rsidP="00C01487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C01A88" w:rsidRDefault="00D82B62" w:rsidP="008128D8">
            <w:r>
              <w:fldChar w:fldCharType="begin">
                <w:ffData>
                  <w:name w:val="zastupce_projektu"/>
                  <w:enabled/>
                  <w:calcOnExit w:val="0"/>
                  <w:textInput>
                    <w:default w:val="Ing. Monika Fazeka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Monika Fazekas</w:t>
            </w:r>
            <w:r>
              <w:fldChar w:fldCharType="end"/>
            </w:r>
            <w:bookmarkEnd w:id="1"/>
          </w:p>
        </w:tc>
      </w:tr>
      <w:tr w:rsidR="00C01A8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C01A88" w:rsidRDefault="00D82B62" w:rsidP="00C01487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C01A88" w:rsidRDefault="005C2130" w:rsidP="008128D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Martin Rambousek"/>
                  </w:textInput>
                </w:ffData>
              </w:fldChar>
            </w:r>
            <w:bookmarkStart w:id="2" w:name="zodp_projekta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Martin Rambousek</w:t>
            </w:r>
            <w:r>
              <w:fldChar w:fldCharType="end"/>
            </w:r>
            <w:bookmarkEnd w:id="2"/>
          </w:p>
        </w:tc>
      </w:tr>
      <w:tr w:rsidR="00C01A8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C01A88" w:rsidRDefault="00D82B62" w:rsidP="00C01487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C01A88" w:rsidRDefault="000F66FC" w:rsidP="008128D8">
            <w:r>
              <w:t>Ing. Anna Juríková</w:t>
            </w:r>
          </w:p>
        </w:tc>
      </w:tr>
      <w:tr w:rsidR="00C01A8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C01A88" w:rsidRDefault="00D82B62" w:rsidP="00C01487">
            <w:pPr>
              <w:pStyle w:val="Popisektabulky"/>
            </w:pPr>
            <w:r>
              <w:t>Kontroloval</w:t>
            </w:r>
          </w:p>
        </w:tc>
        <w:bookmarkStart w:id="3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01A88" w:rsidRDefault="00D82B62" w:rsidP="008128D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Jan Polá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Jan Polášek</w:t>
            </w:r>
            <w:r>
              <w:fldChar w:fldCharType="end"/>
            </w:r>
            <w:bookmarkEnd w:id="3"/>
          </w:p>
        </w:tc>
      </w:tr>
    </w:tbl>
    <w:p w:rsidR="00C01A88" w:rsidRDefault="00C01A88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C01A88" w:rsidTr="000B0E78">
        <w:trPr>
          <w:trHeight w:val="284"/>
        </w:trPr>
        <w:tc>
          <w:tcPr>
            <w:tcW w:w="999" w:type="dxa"/>
            <w:tcBorders>
              <w:top w:val="single" w:sz="12" w:space="0" w:color="auto"/>
            </w:tcBorders>
            <w:vAlign w:val="center"/>
          </w:tcPr>
          <w:p w:rsidR="00C01A88" w:rsidRDefault="00D82B62" w:rsidP="00C01487">
            <w:pPr>
              <w:pStyle w:val="Popisektabulky"/>
            </w:pPr>
            <w:r>
              <w:t>Investor</w:t>
            </w:r>
          </w:p>
        </w:tc>
        <w:bookmarkStart w:id="4" w:name="Investor"/>
        <w:tc>
          <w:tcPr>
            <w:tcW w:w="8640" w:type="dxa"/>
            <w:tcBorders>
              <w:top w:val="single" w:sz="12" w:space="0" w:color="auto"/>
            </w:tcBorders>
            <w:vAlign w:val="center"/>
          </w:tcPr>
          <w:p w:rsidR="00C01A88" w:rsidRDefault="00D82B62" w:rsidP="00884801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Město Šlapanic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Město Šlapanice</w:t>
            </w:r>
            <w:r>
              <w:fldChar w:fldCharType="end"/>
            </w:r>
            <w:bookmarkEnd w:id="4"/>
          </w:p>
        </w:tc>
      </w:tr>
      <w:tr w:rsidR="00C01A88" w:rsidTr="000B0E78">
        <w:trPr>
          <w:trHeight w:val="284"/>
        </w:trPr>
        <w:tc>
          <w:tcPr>
            <w:tcW w:w="999" w:type="dxa"/>
            <w:tcBorders>
              <w:bottom w:val="single" w:sz="12" w:space="0" w:color="auto"/>
            </w:tcBorders>
            <w:vAlign w:val="center"/>
          </w:tcPr>
          <w:p w:rsidR="00C01A88" w:rsidRDefault="00D82B62" w:rsidP="00C01487">
            <w:pPr>
              <w:pStyle w:val="Popisektabulky"/>
            </w:pPr>
            <w:r>
              <w:t>Objednatel</w:t>
            </w:r>
          </w:p>
        </w:tc>
        <w:bookmarkStart w:id="5" w:name="Objednatel"/>
        <w:tc>
          <w:tcPr>
            <w:tcW w:w="8640" w:type="dxa"/>
            <w:tcBorders>
              <w:bottom w:val="single" w:sz="12" w:space="0" w:color="auto"/>
            </w:tcBorders>
            <w:vAlign w:val="center"/>
          </w:tcPr>
          <w:p w:rsidR="00C01A88" w:rsidRDefault="00D82B62" w:rsidP="00884801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Město Šlapanic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Město Šlapanice</w:t>
            </w:r>
            <w:r>
              <w:fldChar w:fldCharType="end"/>
            </w:r>
            <w:bookmarkEnd w:id="5"/>
          </w:p>
        </w:tc>
      </w:tr>
    </w:tbl>
    <w:p w:rsidR="00C01A88" w:rsidRDefault="00C01A88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C01A88" w:rsidTr="00766C1B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1A88" w:rsidRDefault="00D82B62" w:rsidP="00C01487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01A88" w:rsidRDefault="005C2130" w:rsidP="00884801">
            <w:pPr>
              <w:pStyle w:val="dajtabulky"/>
            </w:pPr>
            <w:r>
              <w:rPr>
                <w:rFonts w:ascii="Tahoma" w:hAnsi="Tahoma" w:cs="Tahoma"/>
              </w:rPr>
              <w:t>7</w:t>
            </w:r>
            <w:r w:rsidR="00A9190F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01A88" w:rsidRDefault="00D82B62" w:rsidP="00884801">
            <w:pPr>
              <w:pStyle w:val="Popisektabulky"/>
            </w:pPr>
            <w:r>
              <w:t>Měřítko</w:t>
            </w:r>
          </w:p>
        </w:tc>
        <w:bookmarkStart w:id="6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01A88" w:rsidRDefault="00D82B62" w:rsidP="0046155E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D5552D">
              <w:fldChar w:fldCharType="separate"/>
            </w:r>
            <w:r>
              <w:fldChar w:fldCharType="end"/>
            </w:r>
            <w:bookmarkEnd w:id="6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01A88" w:rsidRDefault="00D82B62" w:rsidP="00766C1B">
            <w:pPr>
              <w:pStyle w:val="Popisektabulky"/>
            </w:pPr>
            <w:r>
              <w:t>Stupeň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01A88" w:rsidRDefault="00A64B14" w:rsidP="0046155E">
            <w:pPr>
              <w:pStyle w:val="dajtabulky"/>
            </w:pPr>
            <w:r>
              <w:t>DPS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01A88" w:rsidRDefault="00D82B62" w:rsidP="00884801">
            <w:pPr>
              <w:pStyle w:val="Popisektabulky"/>
            </w:pPr>
            <w:r>
              <w:t>Datum</w:t>
            </w:r>
          </w:p>
        </w:tc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01A88" w:rsidRDefault="00A64B14" w:rsidP="0046155E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19"/>
                  </w:textInput>
                </w:ffData>
              </w:fldChar>
            </w:r>
            <w:bookmarkStart w:id="7" w:name="Datum_h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01/2019</w:t>
            </w:r>
            <w:r>
              <w:fldChar w:fldCharType="end"/>
            </w:r>
            <w:bookmarkEnd w:id="7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C01A88" w:rsidRDefault="00D82B62" w:rsidP="00884801">
            <w:pPr>
              <w:pStyle w:val="Popisektabulky"/>
            </w:pPr>
            <w:r>
              <w:t>Zakázkové číslo</w:t>
            </w:r>
          </w:p>
        </w:tc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C01A88" w:rsidRDefault="00A64B14" w:rsidP="0046155E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451416-18"/>
                  </w:textInput>
                </w:ffData>
              </w:fldChar>
            </w:r>
            <w:bookmarkStart w:id="8" w:name="Zak_cislo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1451416-18</w:t>
            </w:r>
            <w:r>
              <w:rPr>
                <w:b/>
                <w:bCs/>
              </w:rPr>
              <w:fldChar w:fldCharType="end"/>
            </w:r>
            <w:bookmarkEnd w:id="8"/>
          </w:p>
        </w:tc>
      </w:tr>
    </w:tbl>
    <w:p w:rsidR="00C01A88" w:rsidRDefault="00C01A88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C01A88" w:rsidTr="00B45184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C01A88" w:rsidRDefault="00D82B62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C01A88" w:rsidRDefault="00C01A88">
            <w:pPr>
              <w:pStyle w:val="Popisektabulky"/>
            </w:pPr>
          </w:p>
        </w:tc>
      </w:tr>
      <w:tr w:rsidR="00C01A88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C01A88" w:rsidRDefault="00C01A88">
            <w:pPr>
              <w:pStyle w:val="Popisektabulky"/>
            </w:pPr>
          </w:p>
        </w:tc>
        <w:tc>
          <w:tcPr>
            <w:tcW w:w="7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01A88" w:rsidRDefault="00B45184">
            <w:pPr>
              <w:pStyle w:val="Projekt"/>
            </w:pPr>
            <w:r>
              <w:t>REKONSTRUKCE UL. JUNGMANNOVA, ŠLAPANICE</w:t>
            </w:r>
          </w:p>
          <w:p w:rsidR="00C01A88" w:rsidRDefault="00B45184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 w:rsidR="00D5552D">
              <w:rPr>
                <w:sz w:val="24"/>
                <w:szCs w:val="24"/>
              </w:rPr>
            </w:r>
            <w:r w:rsidR="00D5552D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C01A88" w:rsidRDefault="00C01A88" w:rsidP="00DC2B84">
            <w:pPr>
              <w:pStyle w:val="dajtabulky"/>
            </w:pPr>
          </w:p>
        </w:tc>
      </w:tr>
      <w:tr w:rsidR="00C01A88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C01A88" w:rsidRDefault="00C01A88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C01A8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C01A88" w:rsidRDefault="00C01A8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01A88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C01A88" w:rsidRDefault="00C01A88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C01A8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C01A88" w:rsidRDefault="00C01A8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01A88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C01A88" w:rsidRDefault="00C01A88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725A6E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>
                    <w:default w:val="D - DOKUMENTACE OBJEKTŮ A TECHNICKÝCH A TECHNOLOGICKÝCH ZAŘÍZENÍ"/>
                  </w:textInput>
                </w:ffData>
              </w:fldChar>
            </w:r>
            <w:bookmarkStart w:id="9" w:name="Oddil"/>
            <w:r>
              <w:instrText xml:space="preserve"> FORMTEXT </w:instrText>
            </w:r>
            <w:r>
              <w:fldChar w:fldCharType="separate"/>
            </w:r>
            <w:r>
              <w:t>D - DOKUMENTACE OBJEKTŮ A TECHNICKÝCH A TECHNOLOGICKÝCH ZAŘÍZENÍ</w:t>
            </w:r>
            <w:r>
              <w:fldChar w:fldCharType="end"/>
            </w:r>
            <w:bookmarkEnd w:id="9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C01A8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C01A88" w:rsidRDefault="00C01A8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01A88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C01A88" w:rsidRDefault="00C01A88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725A6E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.1 - DOKUMENTACE STAVEBNÍHO NEBO INŽENÝRSKÉHO OBJEKTU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D.1 - DOKUMENTACE STAVEBNÍHO NEBO INŽENÝRSKÉHO OBJEKTU</w:t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C01A8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C01A88" w:rsidRDefault="00C01A8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01A88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C01A88" w:rsidRDefault="00C01A8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D82B62" w:rsidP="00725A6E">
            <w:pPr>
              <w:pStyle w:val="dajtabulky12"/>
            </w:pPr>
            <w:r>
              <w:t>D.1.1 - SO 01 KOMUNIKACE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C01A8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C01A88" w:rsidRDefault="00C01A8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01A88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C01A88" w:rsidRDefault="00C01A8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C01A88" w:rsidP="00725A6E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A88" w:rsidRDefault="00C01A8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C01A88" w:rsidRDefault="00C01A8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01A88" w:rsidTr="00B45184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:rsidR="00C01A88" w:rsidRDefault="00C01A8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01A88" w:rsidRDefault="00C01A88" w:rsidP="00725A6E">
            <w:pPr>
              <w:pStyle w:val="dajtabulky12"/>
            </w:pP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C01A88" w:rsidRDefault="00D82B62">
            <w:pPr>
              <w:pStyle w:val="dajtabulky"/>
              <w:jc w:val="right"/>
            </w:pPr>
            <w:r>
              <w:t>Souprava</w:t>
            </w:r>
          </w:p>
        </w:tc>
      </w:tr>
      <w:tr w:rsidR="00C01A88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C01A88" w:rsidRDefault="00D82B62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C01A88" w:rsidRDefault="00C01A88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C01A88" w:rsidRDefault="00D82B62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:rsidR="00C01A88" w:rsidRDefault="00D82B62">
            <w:pPr>
              <w:pStyle w:val="Popisektabulky"/>
            </w:pPr>
            <w:r>
              <w:t>Revize</w:t>
            </w:r>
          </w:p>
        </w:tc>
      </w:tr>
      <w:tr w:rsidR="00C01A88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:rsidR="00C01A88" w:rsidRDefault="00C01A88">
            <w:pPr>
              <w:pStyle w:val="Popisektabulky"/>
            </w:pPr>
          </w:p>
        </w:tc>
        <w:bookmarkStart w:id="10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01A88" w:rsidRDefault="00D82B62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TECHNICKÁ ZPRÁVA</w:t>
            </w:r>
            <w:r>
              <w:fldChar w:fldCharType="end"/>
            </w:r>
            <w:bookmarkEnd w:id="10"/>
          </w:p>
        </w:tc>
        <w:bookmarkStart w:id="11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C01A88" w:rsidRDefault="00D82B62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1.1.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D.1.1.1</w:t>
            </w:r>
            <w:r>
              <w:fldChar w:fldCharType="end"/>
            </w:r>
            <w:bookmarkEnd w:id="11"/>
          </w:p>
        </w:tc>
        <w:bookmarkStart w:id="12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C01A88" w:rsidRDefault="00D82B62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2"/>
          </w:p>
        </w:tc>
      </w:tr>
    </w:tbl>
    <w:p w:rsidR="00C01A88" w:rsidRDefault="00C01A88" w:rsidP="008922DA"/>
    <w:p w:rsidR="00C01A88" w:rsidRDefault="00C01A88" w:rsidP="008922DA">
      <w:pPr>
        <w:sectPr w:rsidR="00C01A88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5C2130" w:rsidRDefault="00D82B62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526251950" w:history="1">
        <w:r w:rsidR="005C2130" w:rsidRPr="007E5AA6">
          <w:rPr>
            <w:rStyle w:val="Hypertextovodkaz"/>
            <w:noProof/>
          </w:rPr>
          <w:t>1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Všeobecně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_Toc526251950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3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51" w:history="1">
        <w:r w:rsidR="005C2130" w:rsidRPr="007E5AA6">
          <w:rPr>
            <w:rStyle w:val="Hypertextovodkaz"/>
            <w:noProof/>
          </w:rPr>
          <w:t>2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Směrové vedení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_Toc526251951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3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52" w:history="1">
        <w:r w:rsidR="005C2130" w:rsidRPr="007E5AA6">
          <w:rPr>
            <w:rStyle w:val="Hypertextovodkaz"/>
            <w:noProof/>
          </w:rPr>
          <w:t>3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Výškové vedení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_Toc526251952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3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53" w:history="1">
        <w:r w:rsidR="005C2130" w:rsidRPr="007E5AA6">
          <w:rPr>
            <w:rStyle w:val="Hypertextovodkaz"/>
            <w:noProof/>
          </w:rPr>
          <w:t>4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Příčné uspořádání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_Toc526251953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3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54" w:history="1">
        <w:r w:rsidR="005C2130" w:rsidRPr="007E5AA6">
          <w:rPr>
            <w:rStyle w:val="Hypertextovodkaz"/>
            <w:noProof/>
          </w:rPr>
          <w:t>5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Konstrukce úpravy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_Toc526251954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4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55" w:history="1">
        <w:r w:rsidR="005C2130" w:rsidRPr="007E5AA6">
          <w:rPr>
            <w:rStyle w:val="Hypertextovodkaz"/>
            <w:noProof/>
          </w:rPr>
          <w:t>6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Odvodnění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_Toc526251955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5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56" w:history="1">
        <w:r w:rsidR="005C2130" w:rsidRPr="007E5AA6">
          <w:rPr>
            <w:rStyle w:val="Hypertextovodkaz"/>
            <w:noProof/>
          </w:rPr>
          <w:t>7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Inženýrské sítě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_Toc526251956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5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57" w:history="1">
        <w:r w:rsidR="005C2130" w:rsidRPr="007E5AA6">
          <w:rPr>
            <w:rStyle w:val="Hypertextovodkaz"/>
            <w:noProof/>
          </w:rPr>
          <w:t>8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Dopravní značení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_Toc526251957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5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58" w:history="1">
        <w:r w:rsidR="005C2130" w:rsidRPr="007E5AA6">
          <w:rPr>
            <w:rStyle w:val="Hypertextovodkaz"/>
            <w:noProof/>
          </w:rPr>
          <w:t>9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Opatření zabezpečující užívání stavby osobami s omezenou schopností pohybu a orientace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_Toc526251958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5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59" w:history="1">
        <w:r w:rsidR="005C2130" w:rsidRPr="007E5AA6">
          <w:rPr>
            <w:rStyle w:val="Hypertextovodkaz"/>
            <w:noProof/>
          </w:rPr>
          <w:t>10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Zemní práce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_Toc526251959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6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60" w:history="1">
        <w:r w:rsidR="005C2130" w:rsidRPr="007E5AA6">
          <w:rPr>
            <w:rStyle w:val="Hypertextovodkaz"/>
            <w:noProof/>
          </w:rPr>
          <w:t>11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Provádění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_Toc526251960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6</w:t>
        </w:r>
        <w:r w:rsidR="005C2130">
          <w:rPr>
            <w:noProof/>
            <w:webHidden/>
          </w:rPr>
          <w:fldChar w:fldCharType="end"/>
        </w:r>
      </w:hyperlink>
    </w:p>
    <w:p w:rsidR="005C2130" w:rsidRDefault="00D5552D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26251961" w:history="1">
        <w:r w:rsidR="005C2130" w:rsidRPr="007E5AA6">
          <w:rPr>
            <w:rStyle w:val="Hypertextovodkaz"/>
            <w:noProof/>
          </w:rPr>
          <w:t>12</w:t>
        </w:r>
        <w:r w:rsidR="005C213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5C2130" w:rsidRPr="007E5AA6">
          <w:rPr>
            <w:rStyle w:val="Hypertextovodkaz"/>
            <w:noProof/>
          </w:rPr>
          <w:t>Různé</w:t>
        </w:r>
        <w:r w:rsidR="005C2130">
          <w:rPr>
            <w:noProof/>
            <w:webHidden/>
          </w:rPr>
          <w:tab/>
        </w:r>
        <w:r w:rsidR="005C2130">
          <w:rPr>
            <w:noProof/>
            <w:webHidden/>
          </w:rPr>
          <w:fldChar w:fldCharType="begin"/>
        </w:r>
        <w:r w:rsidR="005C2130">
          <w:rPr>
            <w:noProof/>
            <w:webHidden/>
          </w:rPr>
          <w:instrText xml:space="preserve"> PAGEREF _Toc526251961 \h </w:instrText>
        </w:r>
        <w:r w:rsidR="005C2130">
          <w:rPr>
            <w:noProof/>
            <w:webHidden/>
          </w:rPr>
        </w:r>
        <w:r w:rsidR="005C2130">
          <w:rPr>
            <w:noProof/>
            <w:webHidden/>
          </w:rPr>
          <w:fldChar w:fldCharType="separate"/>
        </w:r>
        <w:r w:rsidR="005C2130">
          <w:rPr>
            <w:noProof/>
            <w:webHidden/>
          </w:rPr>
          <w:t>7</w:t>
        </w:r>
        <w:r w:rsidR="005C2130">
          <w:rPr>
            <w:noProof/>
            <w:webHidden/>
          </w:rPr>
          <w:fldChar w:fldCharType="end"/>
        </w:r>
      </w:hyperlink>
    </w:p>
    <w:p w:rsidR="00C01A88" w:rsidRDefault="00D82B62" w:rsidP="00990FA7">
      <w:r>
        <w:rPr>
          <w:b/>
          <w:bCs/>
        </w:rPr>
        <w:fldChar w:fldCharType="end"/>
      </w:r>
    </w:p>
    <w:p w:rsidR="00645ECE" w:rsidRDefault="00D82B62" w:rsidP="00645ECE">
      <w:pPr>
        <w:pStyle w:val="Nadpis1"/>
        <w:numPr>
          <w:ilvl w:val="0"/>
          <w:numId w:val="0"/>
        </w:numPr>
        <w:ind w:left="432"/>
      </w:pPr>
      <w:bookmarkStart w:id="13" w:name="_Toc88104622"/>
      <w:bookmarkStart w:id="14" w:name="_Toc88105067"/>
      <w:bookmarkStart w:id="15" w:name="_Toc88105322"/>
      <w:bookmarkStart w:id="16" w:name="_Toc88108799"/>
      <w:bookmarkStart w:id="17" w:name="_Toc88108864"/>
      <w:bookmarkStart w:id="18" w:name="_Toc88109216"/>
      <w:bookmarkStart w:id="19" w:name="_Toc88109295"/>
      <w:bookmarkStart w:id="20" w:name="_Toc88119778"/>
      <w:bookmarkStart w:id="21" w:name="_Toc88120569"/>
      <w:bookmarkStart w:id="22" w:name="_Toc88120646"/>
      <w:bookmarkStart w:id="23" w:name="_Toc88121219"/>
      <w:bookmarkStart w:id="24" w:name="_Toc88121465"/>
      <w:bookmarkStart w:id="25" w:name="_Toc88121490"/>
      <w:bookmarkStart w:id="26" w:name="_Toc88121551"/>
      <w:bookmarkStart w:id="27" w:name="_Toc88287774"/>
      <w:bookmarkStart w:id="28" w:name="_Toc68497117"/>
      <w:bookmarkStart w:id="29" w:name="_Toc115846553"/>
      <w:r>
        <w:br w:type="page"/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645ECE" w:rsidRDefault="00645ECE" w:rsidP="00AB4ADA"/>
    <w:p w:rsidR="00645ECE" w:rsidRPr="009641AB" w:rsidRDefault="00645ECE" w:rsidP="00645ECE">
      <w:pPr>
        <w:pStyle w:val="Nadpis1"/>
      </w:pPr>
      <w:bookmarkStart w:id="30" w:name="_Toc432676376"/>
      <w:bookmarkStart w:id="31" w:name="_Toc526251950"/>
      <w:r w:rsidRPr="009641AB">
        <w:t>Všeobecně</w:t>
      </w:r>
      <w:bookmarkEnd w:id="30"/>
      <w:bookmarkEnd w:id="31"/>
    </w:p>
    <w:p w:rsidR="009641AB" w:rsidRDefault="009641AB" w:rsidP="009641AB">
      <w:pPr>
        <w:jc w:val="both"/>
      </w:pPr>
      <w:bookmarkStart w:id="32" w:name="_Toc432676377"/>
      <w:r>
        <w:t xml:space="preserve">Akce řeší rekonstrukci vozovky ul. Jungmannova ve Šlapanicích. </w:t>
      </w:r>
      <w:r w:rsidRPr="00774874">
        <w:t>Ulice se napojuje na</w:t>
      </w:r>
      <w:r w:rsidR="000945B8">
        <w:t xml:space="preserve"> hranu silnice III/</w:t>
      </w:r>
      <w:r w:rsidR="005C46F2">
        <w:t>15286,</w:t>
      </w:r>
      <w:r w:rsidRPr="00774874">
        <w:t xml:space="preserve"> ul. Čechova a slouží ke zpřístupnění obytné části </w:t>
      </w:r>
      <w:r w:rsidR="005C46F2">
        <w:t>ulice</w:t>
      </w:r>
      <w:r w:rsidRPr="00774874">
        <w:t xml:space="preserve">. </w:t>
      </w:r>
      <w:bookmarkStart w:id="33" w:name="_Hlk482133250"/>
      <w:r w:rsidRPr="00774874">
        <w:t>Území je zastavěné a obývané.</w:t>
      </w:r>
      <w:bookmarkEnd w:id="33"/>
      <w:r w:rsidR="005C46F2" w:rsidRPr="005C46F2">
        <w:t xml:space="preserve"> </w:t>
      </w:r>
      <w:r w:rsidR="005C46F2" w:rsidRPr="00774874">
        <w:t>Stávající vozovka bude v rámci akce rekonstruována.</w:t>
      </w:r>
      <w:r w:rsidR="0000507C">
        <w:t xml:space="preserve"> V rámci akce bude koordinovaně řešena dešťová kanalizace, veřejné osvětlení a přeložka telekomunikačních kabelů (řešeno v samostatných SO). Ulice je řešena jako zóna 30, vjezd je navržen přes zpomalovací práh.</w:t>
      </w:r>
    </w:p>
    <w:p w:rsidR="009641AB" w:rsidRPr="00107349" w:rsidRDefault="009641AB" w:rsidP="009641AB">
      <w:pPr>
        <w:spacing w:line="240" w:lineRule="atLeast"/>
        <w:jc w:val="both"/>
        <w:rPr>
          <w:color w:val="FF0000"/>
        </w:rPr>
      </w:pPr>
      <w:r w:rsidRPr="00F508FB">
        <w:t>Začátek úpravy</w:t>
      </w:r>
      <w:r>
        <w:t xml:space="preserve"> komunikace</w:t>
      </w:r>
      <w:r w:rsidRPr="00F508FB">
        <w:t xml:space="preserve"> je na hraně ul. Čechova</w:t>
      </w:r>
      <w:r w:rsidR="00BB4888">
        <w:t xml:space="preserve"> a </w:t>
      </w:r>
      <w:r w:rsidRPr="00F508FB">
        <w:t>řeš</w:t>
      </w:r>
      <w:r w:rsidR="00BB4888">
        <w:t>í</w:t>
      </w:r>
      <w:r w:rsidRPr="00F508FB">
        <w:t xml:space="preserve"> ul. Jungmannov</w:t>
      </w:r>
      <w:r w:rsidR="0000507C">
        <w:t>u</w:t>
      </w:r>
      <w:r w:rsidR="00BB4888">
        <w:t xml:space="preserve"> v celé její délce</w:t>
      </w:r>
      <w:r w:rsidRPr="00F508FB">
        <w:t>.</w:t>
      </w:r>
      <w:r w:rsidR="00BB4888">
        <w:t xml:space="preserve"> Ulice je slepá, na konci je navrženo obratiště.</w:t>
      </w:r>
      <w:r w:rsidRPr="00F508FB">
        <w:t xml:space="preserve"> Délka úpravy je 268,74 m. Vozovka je s krytem z asfaltového betonu, tloušťka konstrukce 45 cm. Základní šířka vozovky je 5,50 m</w:t>
      </w:r>
      <w:r>
        <w:t xml:space="preserve"> ve dvoupruhovém uspořádání a 3,50 m v jednopruhovém</w:t>
      </w:r>
      <w:r w:rsidRPr="00F508FB">
        <w:t xml:space="preserve">, příčný sklon jednostranný </w:t>
      </w:r>
      <w:proofErr w:type="gramStart"/>
      <w:r w:rsidRPr="00F508FB">
        <w:t>2,50%</w:t>
      </w:r>
      <w:proofErr w:type="gramEnd"/>
      <w:r w:rsidRPr="00F508FB">
        <w:t xml:space="preserve">. </w:t>
      </w:r>
      <w:r>
        <w:t>Po obou stranách komunikace je veden chodník šířky minimálně 1,50</w:t>
      </w:r>
      <w:r w:rsidR="0000507C">
        <w:t xml:space="preserve"> </w:t>
      </w:r>
      <w:r>
        <w:t>m pro pohodlnou pěší dostupnost. Kde to rozložení uličního prostoru umožňuje, j</w:t>
      </w:r>
      <w:r w:rsidR="0000507C">
        <w:t>sou n</w:t>
      </w:r>
      <w:r>
        <w:t>avržen</w:t>
      </w:r>
      <w:r w:rsidR="0000507C">
        <w:t>a podélná</w:t>
      </w:r>
      <w:r>
        <w:t xml:space="preserve"> parkovací stání šířky 2,00m. Vjezdy jsou navrženy v pojížděné konstrukci ze zámkové dlažby přes sníženou obrubu.</w:t>
      </w:r>
    </w:p>
    <w:p w:rsidR="00645ECE" w:rsidRPr="008E3E8E" w:rsidRDefault="00645ECE" w:rsidP="00645ECE">
      <w:pPr>
        <w:pStyle w:val="Nadpis1"/>
      </w:pPr>
      <w:bookmarkStart w:id="34" w:name="_Toc526251951"/>
      <w:r w:rsidRPr="008E3E8E">
        <w:t>Směrové vedení</w:t>
      </w:r>
      <w:bookmarkEnd w:id="32"/>
      <w:bookmarkEnd w:id="34"/>
    </w:p>
    <w:p w:rsidR="00645ECE" w:rsidRPr="00B720B7" w:rsidRDefault="00645ECE" w:rsidP="00645ECE">
      <w:pPr>
        <w:ind w:firstLine="432"/>
      </w:pPr>
      <w:r w:rsidRPr="00B720B7">
        <w:t>Směrové vedení silnice vychází ze stávajícího stavu a je přehledně následující:</w:t>
      </w:r>
    </w:p>
    <w:p w:rsidR="00645ECE" w:rsidRPr="008E3E8E" w:rsidRDefault="00645ECE" w:rsidP="00645ECE">
      <w:r w:rsidRPr="008E3E8E">
        <w:t>km</w:t>
      </w:r>
      <w:r w:rsidRPr="008E3E8E">
        <w:tab/>
        <w:t>0,000 00 – 0,</w:t>
      </w:r>
      <w:r w:rsidR="00B720B7" w:rsidRPr="008E3E8E">
        <w:t>002 78</w:t>
      </w:r>
      <w:r w:rsidRPr="008E3E8E">
        <w:tab/>
        <w:t>je přímá</w:t>
      </w:r>
    </w:p>
    <w:p w:rsidR="00645ECE" w:rsidRPr="008E3E8E" w:rsidRDefault="00645ECE" w:rsidP="00645ECE">
      <w:r w:rsidRPr="008E3E8E">
        <w:tab/>
        <w:t>0,</w:t>
      </w:r>
      <w:r w:rsidR="00B720B7" w:rsidRPr="008E3E8E">
        <w:t>002 78</w:t>
      </w:r>
      <w:r w:rsidRPr="008E3E8E">
        <w:t xml:space="preserve"> – 0,</w:t>
      </w:r>
      <w:r w:rsidR="00B720B7" w:rsidRPr="008E3E8E">
        <w:t>014 59</w:t>
      </w:r>
      <w:r w:rsidRPr="008E3E8E">
        <w:tab/>
        <w:t xml:space="preserve">je </w:t>
      </w:r>
      <w:r w:rsidR="005D0C68" w:rsidRPr="008E3E8E">
        <w:t>pra</w:t>
      </w:r>
      <w:r w:rsidR="008E3E8E" w:rsidRPr="008E3E8E">
        <w:t>vo</w:t>
      </w:r>
      <w:r w:rsidRPr="008E3E8E">
        <w:t xml:space="preserve">stranný kruhový oblouk o R = </w:t>
      </w:r>
      <w:r w:rsidR="008E3E8E" w:rsidRPr="008E3E8E">
        <w:t>2</w:t>
      </w:r>
      <w:r w:rsidRPr="008E3E8E">
        <w:t>0 m</w:t>
      </w:r>
    </w:p>
    <w:p w:rsidR="00645ECE" w:rsidRPr="008E3E8E" w:rsidRDefault="00645ECE" w:rsidP="00645ECE">
      <w:r w:rsidRPr="008E3E8E">
        <w:tab/>
        <w:t>0,</w:t>
      </w:r>
      <w:r w:rsidR="00B720B7" w:rsidRPr="008E3E8E">
        <w:t>014 59</w:t>
      </w:r>
      <w:r w:rsidRPr="008E3E8E">
        <w:t xml:space="preserve"> – 0,</w:t>
      </w:r>
      <w:r w:rsidR="00D6114D" w:rsidRPr="008E3E8E">
        <w:t>033 16</w:t>
      </w:r>
      <w:r w:rsidRPr="008E3E8E">
        <w:tab/>
        <w:t>je přímá</w:t>
      </w:r>
    </w:p>
    <w:p w:rsidR="00645ECE" w:rsidRPr="008E3E8E" w:rsidRDefault="00645ECE" w:rsidP="00645ECE">
      <w:r w:rsidRPr="008E3E8E">
        <w:tab/>
        <w:t>0,</w:t>
      </w:r>
      <w:r w:rsidR="00D6114D" w:rsidRPr="008E3E8E">
        <w:t>033 16</w:t>
      </w:r>
      <w:r w:rsidRPr="008E3E8E">
        <w:t xml:space="preserve"> – 0,</w:t>
      </w:r>
      <w:r w:rsidR="00D6114D" w:rsidRPr="008E3E8E">
        <w:t>090 23</w:t>
      </w:r>
      <w:r w:rsidRPr="008E3E8E">
        <w:tab/>
        <w:t xml:space="preserve">je levostranný kruhový oblouk o R = </w:t>
      </w:r>
      <w:r w:rsidR="008E3E8E" w:rsidRPr="008E3E8E">
        <w:t>3</w:t>
      </w:r>
      <w:r w:rsidRPr="008E3E8E">
        <w:t>00 m</w:t>
      </w:r>
    </w:p>
    <w:p w:rsidR="00645ECE" w:rsidRPr="008E3E8E" w:rsidRDefault="00645ECE" w:rsidP="00645ECE">
      <w:r w:rsidRPr="008E3E8E">
        <w:tab/>
        <w:t>0,</w:t>
      </w:r>
      <w:r w:rsidR="00D6114D" w:rsidRPr="008E3E8E">
        <w:t>090 23</w:t>
      </w:r>
      <w:r w:rsidRPr="008E3E8E">
        <w:t xml:space="preserve"> – 0,</w:t>
      </w:r>
      <w:r w:rsidR="00D6114D" w:rsidRPr="008E3E8E">
        <w:t>129 10</w:t>
      </w:r>
      <w:r w:rsidRPr="008E3E8E">
        <w:tab/>
        <w:t>je přímá.</w:t>
      </w:r>
    </w:p>
    <w:p w:rsidR="00D6114D" w:rsidRPr="008E3E8E" w:rsidRDefault="00D6114D" w:rsidP="00D6114D">
      <w:r w:rsidRPr="008E3E8E">
        <w:tab/>
        <w:t>0,129 10 – 0,149 09</w:t>
      </w:r>
      <w:r w:rsidRPr="008E3E8E">
        <w:tab/>
        <w:t>je levostranný kruhový oblouk o R = 1</w:t>
      </w:r>
      <w:r w:rsidR="008E3E8E" w:rsidRPr="008E3E8E">
        <w:t>5</w:t>
      </w:r>
      <w:r w:rsidRPr="008E3E8E">
        <w:t>0 m</w:t>
      </w:r>
    </w:p>
    <w:p w:rsidR="00D6114D" w:rsidRPr="008E3E8E" w:rsidRDefault="00D6114D" w:rsidP="00D6114D">
      <w:r w:rsidRPr="008E3E8E">
        <w:tab/>
        <w:t>0,149 09 – 0,268 74</w:t>
      </w:r>
      <w:r w:rsidRPr="008E3E8E">
        <w:tab/>
        <w:t>je přímá.</w:t>
      </w:r>
    </w:p>
    <w:p w:rsidR="00D6114D" w:rsidRPr="008E3E8E" w:rsidRDefault="00D6114D" w:rsidP="00645ECE"/>
    <w:p w:rsidR="00645ECE" w:rsidRPr="00052B43" w:rsidRDefault="00645ECE" w:rsidP="00645ECE">
      <w:pPr>
        <w:pStyle w:val="Nadpis1"/>
      </w:pPr>
      <w:bookmarkStart w:id="35" w:name="_Toc432676378"/>
      <w:bookmarkStart w:id="36" w:name="_Toc526251952"/>
      <w:r w:rsidRPr="00052B43">
        <w:t>Výškové vedení</w:t>
      </w:r>
      <w:bookmarkEnd w:id="35"/>
      <w:bookmarkEnd w:id="36"/>
    </w:p>
    <w:p w:rsidR="00645ECE" w:rsidRPr="00052B43" w:rsidRDefault="00645ECE" w:rsidP="00645ECE">
      <w:pPr>
        <w:ind w:firstLine="432"/>
      </w:pPr>
      <w:r w:rsidRPr="00052B43">
        <w:t>Výškové vedení vychází z tvaru příčného řezu, respektuje stávající zástavbu a přehledně je následující:</w:t>
      </w:r>
    </w:p>
    <w:p w:rsidR="00645ECE" w:rsidRPr="00052B43" w:rsidRDefault="00645ECE" w:rsidP="00645ECE">
      <w:r w:rsidRPr="00052B43">
        <w:t>km</w:t>
      </w:r>
      <w:r w:rsidRPr="00052B43">
        <w:tab/>
        <w:t>0,000 00 – 0,</w:t>
      </w:r>
      <w:r w:rsidR="00052B43" w:rsidRPr="00052B43">
        <w:t>013 92</w:t>
      </w:r>
      <w:r w:rsidRPr="00052B43">
        <w:tab/>
        <w:t xml:space="preserve">stoupá </w:t>
      </w:r>
      <w:r w:rsidR="00052B43" w:rsidRPr="00052B43">
        <w:t>2</w:t>
      </w:r>
      <w:r w:rsidRPr="00052B43">
        <w:t>,</w:t>
      </w:r>
      <w:r w:rsidR="00052B43" w:rsidRPr="00052B43">
        <w:t>5</w:t>
      </w:r>
      <w:r w:rsidRPr="00052B43">
        <w:t>0 %</w:t>
      </w:r>
    </w:p>
    <w:p w:rsidR="00645ECE" w:rsidRPr="00052B43" w:rsidRDefault="00645ECE" w:rsidP="00645ECE">
      <w:r w:rsidRPr="00052B43">
        <w:tab/>
        <w:t>0,01</w:t>
      </w:r>
      <w:r w:rsidR="00052B43" w:rsidRPr="00052B43">
        <w:t>3</w:t>
      </w:r>
      <w:r w:rsidRPr="00052B43">
        <w:t xml:space="preserve"> 9</w:t>
      </w:r>
      <w:r w:rsidR="00052B43" w:rsidRPr="00052B43">
        <w:t>2</w:t>
      </w:r>
      <w:r w:rsidRPr="00052B43">
        <w:t xml:space="preserve"> – 0,</w:t>
      </w:r>
      <w:r w:rsidR="00052B43" w:rsidRPr="00052B43">
        <w:t>151 22</w:t>
      </w:r>
      <w:r w:rsidRPr="00052B43">
        <w:tab/>
        <w:t xml:space="preserve">stoupá </w:t>
      </w:r>
      <w:r w:rsidR="00052B43">
        <w:t>4</w:t>
      </w:r>
      <w:r w:rsidRPr="00052B43">
        <w:t>,</w:t>
      </w:r>
      <w:r w:rsidR="00052B43">
        <w:t>15</w:t>
      </w:r>
      <w:r w:rsidRPr="00052B43">
        <w:t xml:space="preserve"> %, lom je zaoblen </w:t>
      </w:r>
      <w:proofErr w:type="spellStart"/>
      <w:r w:rsidRPr="00052B43">
        <w:t>údolnicovým</w:t>
      </w:r>
      <w:proofErr w:type="spellEnd"/>
      <w:r w:rsidRPr="00052B43">
        <w:t xml:space="preserve"> obloukem R = </w:t>
      </w:r>
      <w:r w:rsidR="00052B43">
        <w:t>10</w:t>
      </w:r>
      <w:r w:rsidRPr="00052B43">
        <w:t>00 m</w:t>
      </w:r>
    </w:p>
    <w:p w:rsidR="00645ECE" w:rsidRPr="00052B43" w:rsidRDefault="00645ECE" w:rsidP="00645ECE">
      <w:r w:rsidRPr="00052B43">
        <w:tab/>
        <w:t>0,</w:t>
      </w:r>
      <w:r w:rsidR="00052B43" w:rsidRPr="00052B43">
        <w:t xml:space="preserve">151 22 </w:t>
      </w:r>
      <w:r w:rsidRPr="00052B43">
        <w:t>– 0,</w:t>
      </w:r>
      <w:r w:rsidR="00052B43" w:rsidRPr="00052B43">
        <w:t>268 74</w:t>
      </w:r>
      <w:r w:rsidRPr="00052B43">
        <w:tab/>
        <w:t xml:space="preserve">stoupá </w:t>
      </w:r>
      <w:r w:rsidR="00052B43">
        <w:t>1</w:t>
      </w:r>
      <w:r w:rsidRPr="00052B43">
        <w:t>,</w:t>
      </w:r>
      <w:r w:rsidR="00052B43">
        <w:t>45</w:t>
      </w:r>
      <w:r w:rsidRPr="00052B43">
        <w:t xml:space="preserve"> %, lom je zaoblen </w:t>
      </w:r>
      <w:r w:rsidR="00052B43" w:rsidRPr="00052B43">
        <w:t>vrcholový</w:t>
      </w:r>
      <w:r w:rsidRPr="00052B43">
        <w:t>m obloukem R = 1000 m</w:t>
      </w:r>
    </w:p>
    <w:p w:rsidR="00645ECE" w:rsidRPr="00EE68E9" w:rsidRDefault="00645ECE" w:rsidP="00645ECE">
      <w:pPr>
        <w:pStyle w:val="Nadpis1"/>
      </w:pPr>
      <w:bookmarkStart w:id="37" w:name="_Toc432676379"/>
      <w:bookmarkStart w:id="38" w:name="_Toc526251953"/>
      <w:r w:rsidRPr="00EE68E9">
        <w:t>Příčné uspořádání</w:t>
      </w:r>
      <w:bookmarkEnd w:id="37"/>
      <w:bookmarkEnd w:id="38"/>
    </w:p>
    <w:p w:rsidR="001649E2" w:rsidRDefault="00BB4888" w:rsidP="00645ECE">
      <w:pPr>
        <w:spacing w:line="240" w:lineRule="atLeast"/>
        <w:ind w:firstLine="432"/>
        <w:jc w:val="both"/>
      </w:pPr>
      <w:r w:rsidRPr="00BB4888">
        <w:t>Základní šířka vozovky je 5,50 m ve dvoupruhovém uspořádání a 3,50 m v jednopruhovém</w:t>
      </w:r>
      <w:r w:rsidR="00645ECE" w:rsidRPr="00BB4888">
        <w:t xml:space="preserve"> mezi oboustrannými silničními obrubníky</w:t>
      </w:r>
      <w:r w:rsidR="00645ECE" w:rsidRPr="00E55FD8">
        <w:t>.</w:t>
      </w:r>
      <w:r w:rsidRPr="00E55FD8">
        <w:t xml:space="preserve"> </w:t>
      </w:r>
      <w:r w:rsidR="008800E9">
        <w:t xml:space="preserve">Od km 0,065 je komunikace zúžena do jednoho pruhu, kolem km 0,135 je prostor umožňující vyhnutí protijedoucím vozidlům. </w:t>
      </w:r>
      <w:r w:rsidRPr="00E55FD8">
        <w:t>Základn</w:t>
      </w:r>
      <w:r w:rsidR="00E55FD8" w:rsidRPr="00E55FD8">
        <w:t>í n</w:t>
      </w:r>
      <w:r w:rsidR="00645ECE" w:rsidRPr="00E55FD8">
        <w:t>advýšení obrubníků je 1</w:t>
      </w:r>
      <w:r w:rsidR="00816B62" w:rsidRPr="00E55FD8">
        <w:t>2</w:t>
      </w:r>
      <w:r w:rsidR="00645ECE" w:rsidRPr="00E55FD8">
        <w:t xml:space="preserve"> cm, příčný sklon je jednostranný </w:t>
      </w:r>
      <w:proofErr w:type="gramStart"/>
      <w:r w:rsidR="00645ECE" w:rsidRPr="00E55FD8">
        <w:t>2,5%</w:t>
      </w:r>
      <w:proofErr w:type="gramEnd"/>
      <w:r w:rsidR="00645ECE" w:rsidRPr="00E55FD8">
        <w:t>.</w:t>
      </w:r>
    </w:p>
    <w:p w:rsidR="00645ECE" w:rsidRPr="009641AB" w:rsidRDefault="00645ECE" w:rsidP="00645ECE">
      <w:pPr>
        <w:spacing w:line="240" w:lineRule="atLeast"/>
        <w:ind w:firstLine="432"/>
        <w:jc w:val="both"/>
        <w:rPr>
          <w:highlight w:val="lightGray"/>
        </w:rPr>
      </w:pPr>
      <w:r w:rsidRPr="00E55FD8">
        <w:t xml:space="preserve"> </w:t>
      </w:r>
      <w:r w:rsidR="00EE68E9" w:rsidRPr="00EE68E9">
        <w:t>P</w:t>
      </w:r>
      <w:r w:rsidRPr="00EE68E9">
        <w:t>arkovací pruh š. 2,00 m</w:t>
      </w:r>
      <w:r w:rsidR="00EE68E9" w:rsidRPr="00EE68E9">
        <w:t xml:space="preserve"> je umístěn po obou stranách vozovky v místech, kde je to možné</w:t>
      </w:r>
      <w:r w:rsidRPr="00EE68E9">
        <w:t xml:space="preserve">. Pruh je od vozovky oddělen nájezdovým obrubníkem s nadvýšením 2 cm, okolo pruhu je silniční obrubník s nadvýšením 10 cm. Příčný spád pruhu je </w:t>
      </w:r>
      <w:proofErr w:type="gramStart"/>
      <w:r w:rsidRPr="00EE68E9">
        <w:t>2%</w:t>
      </w:r>
      <w:proofErr w:type="gramEnd"/>
      <w:r w:rsidRPr="00EE68E9">
        <w:t xml:space="preserve"> směrem do vozovky. </w:t>
      </w:r>
      <w:r w:rsidRPr="00075138">
        <w:t>V místech vjezdů bude osazen nájezdový obrubník s nadvýšením 2 cm.</w:t>
      </w:r>
    </w:p>
    <w:p w:rsidR="00645ECE" w:rsidRPr="00E55FD8" w:rsidRDefault="00E55FD8" w:rsidP="00645ECE">
      <w:pPr>
        <w:spacing w:line="240" w:lineRule="atLeast"/>
        <w:ind w:firstLine="432"/>
        <w:jc w:val="both"/>
      </w:pPr>
      <w:r w:rsidRPr="00E55FD8">
        <w:t xml:space="preserve">Chodník je vedený po obou stranách uličního prostoru v minimální šířce 1,5 m. </w:t>
      </w:r>
      <w:r w:rsidR="00645ECE" w:rsidRPr="00E55FD8">
        <w:t xml:space="preserve">Příčný sklon chodníku je </w:t>
      </w:r>
      <w:proofErr w:type="gramStart"/>
      <w:r w:rsidR="00645ECE" w:rsidRPr="00E55FD8">
        <w:t>2%</w:t>
      </w:r>
      <w:proofErr w:type="gramEnd"/>
      <w:r w:rsidR="00645ECE" w:rsidRPr="00E55FD8">
        <w:t xml:space="preserve"> směrem do vozovky. Pokud chodník nenavazuje na podezdívku oplocení, bude podél něj osazen chodníkový obrubník s nadvýšením </w:t>
      </w:r>
      <w:r w:rsidRPr="00E55FD8">
        <w:t>10</w:t>
      </w:r>
      <w:r w:rsidR="00645ECE" w:rsidRPr="00E55FD8">
        <w:t xml:space="preserve"> cm. Navazující prostor bude upraven, </w:t>
      </w:r>
      <w:proofErr w:type="spellStart"/>
      <w:r w:rsidR="00645ECE" w:rsidRPr="00E55FD8">
        <w:t>ohumusován</w:t>
      </w:r>
      <w:proofErr w:type="spellEnd"/>
      <w:r w:rsidR="00645ECE" w:rsidRPr="00E55FD8">
        <w:t xml:space="preserve"> a zatravněn. </w:t>
      </w:r>
    </w:p>
    <w:p w:rsidR="00645ECE" w:rsidRPr="009641AB" w:rsidRDefault="00645ECE" w:rsidP="00645ECE">
      <w:pPr>
        <w:pStyle w:val="Nadpis1"/>
      </w:pPr>
      <w:bookmarkStart w:id="39" w:name="_Toc432676380"/>
      <w:bookmarkStart w:id="40" w:name="_Toc526251954"/>
      <w:r w:rsidRPr="009641AB">
        <w:t>Konstrukce úpravy</w:t>
      </w:r>
      <w:bookmarkEnd w:id="39"/>
      <w:bookmarkEnd w:id="40"/>
    </w:p>
    <w:p w:rsidR="00645ECE" w:rsidRPr="009641AB" w:rsidRDefault="00645ECE" w:rsidP="00645ECE">
      <w:pPr>
        <w:spacing w:line="240" w:lineRule="atLeast"/>
        <w:jc w:val="both"/>
      </w:pPr>
      <w:r w:rsidRPr="009641AB">
        <w:t>Navržená konstrukce vozovky odpovídá předpokládanému minimálnímu dopravnímu zatížení.</w:t>
      </w:r>
    </w:p>
    <w:p w:rsidR="00645ECE" w:rsidRPr="009641AB" w:rsidRDefault="00645ECE" w:rsidP="00645ECE">
      <w:pPr>
        <w:spacing w:line="240" w:lineRule="atLeast"/>
        <w:jc w:val="both"/>
      </w:pPr>
      <w:r w:rsidRPr="009641AB">
        <w:t>Konstrukce asfaltové vozovky je ve složení:</w:t>
      </w:r>
    </w:p>
    <w:p w:rsidR="00645ECE" w:rsidRPr="009641AB" w:rsidRDefault="00645ECE" w:rsidP="00645ECE">
      <w:pPr>
        <w:spacing w:line="240" w:lineRule="atLeast"/>
        <w:jc w:val="both"/>
      </w:pPr>
      <w:r w:rsidRPr="009641AB">
        <w:t xml:space="preserve">Asfaltový beton                   </w:t>
      </w:r>
      <w:r w:rsidRPr="009641AB">
        <w:tab/>
      </w:r>
      <w:r w:rsidRPr="009641AB">
        <w:tab/>
      </w:r>
      <w:r w:rsidRPr="009641AB">
        <w:tab/>
        <w:t>ACO 11+</w:t>
      </w:r>
      <w:r w:rsidRPr="009641AB">
        <w:tab/>
        <w:t xml:space="preserve"> </w:t>
      </w:r>
      <w:r w:rsidRPr="009641AB">
        <w:tab/>
      </w:r>
      <w:smartTag w:uri="urn:schemas-microsoft-com:office:smarttags" w:element="metricconverter">
        <w:smartTagPr>
          <w:attr w:name="ProductID" w:val="50 mm"/>
        </w:smartTagPr>
        <w:r w:rsidRPr="009641AB">
          <w:t>50 mm</w:t>
        </w:r>
      </w:smartTag>
    </w:p>
    <w:p w:rsidR="00645ECE" w:rsidRPr="009641AB" w:rsidRDefault="00645ECE" w:rsidP="00645ECE">
      <w:pPr>
        <w:spacing w:line="240" w:lineRule="atLeast"/>
        <w:jc w:val="both"/>
        <w:rPr>
          <w:vertAlign w:val="superscript"/>
        </w:rPr>
      </w:pPr>
      <w:r w:rsidRPr="009641AB">
        <w:t xml:space="preserve">Spojovací postřik                            </w:t>
      </w:r>
      <w:r w:rsidRPr="009641AB">
        <w:tab/>
      </w:r>
      <w:r w:rsidRPr="009641AB">
        <w:tab/>
        <w:t>PS-E</w:t>
      </w:r>
      <w:r w:rsidRPr="009641AB">
        <w:tab/>
      </w:r>
      <w:r w:rsidRPr="009641AB">
        <w:tab/>
      </w:r>
      <w:r w:rsidRPr="009641AB">
        <w:tab/>
        <w:t>0,15-0,25 kg/m</w:t>
      </w:r>
      <w:r w:rsidRPr="009641AB">
        <w:rPr>
          <w:vertAlign w:val="superscript"/>
        </w:rPr>
        <w:t>2</w:t>
      </w:r>
    </w:p>
    <w:p w:rsidR="00645ECE" w:rsidRPr="009641AB" w:rsidRDefault="00645ECE" w:rsidP="00645ECE">
      <w:pPr>
        <w:spacing w:line="240" w:lineRule="atLeast"/>
        <w:jc w:val="both"/>
      </w:pPr>
      <w:r w:rsidRPr="009641AB">
        <w:t xml:space="preserve">Asfaltový beton                     </w:t>
      </w:r>
      <w:r w:rsidRPr="009641AB">
        <w:tab/>
      </w:r>
      <w:r w:rsidRPr="009641AB">
        <w:tab/>
      </w:r>
      <w:r w:rsidRPr="009641AB">
        <w:tab/>
        <w:t>ACP 16+</w:t>
      </w:r>
      <w:r w:rsidRPr="009641AB">
        <w:tab/>
      </w:r>
      <w:r w:rsidRPr="009641AB">
        <w:tab/>
      </w:r>
      <w:r w:rsidR="009641AB" w:rsidRPr="009641AB">
        <w:t>5</w:t>
      </w:r>
      <w:r w:rsidRPr="009641AB">
        <w:t>0 mm</w:t>
      </w:r>
    </w:p>
    <w:p w:rsidR="00645ECE" w:rsidRPr="009641AB" w:rsidRDefault="00645ECE" w:rsidP="00645ECE">
      <w:pPr>
        <w:spacing w:line="240" w:lineRule="atLeast"/>
        <w:jc w:val="both"/>
      </w:pPr>
      <w:r w:rsidRPr="009641AB">
        <w:t xml:space="preserve">Infiltrační postřik </w:t>
      </w:r>
      <w:r w:rsidRPr="009641AB">
        <w:tab/>
      </w:r>
      <w:r w:rsidRPr="009641AB">
        <w:tab/>
      </w:r>
      <w:r w:rsidRPr="009641AB">
        <w:rPr>
          <w:vertAlign w:val="superscript"/>
        </w:rPr>
        <w:tab/>
      </w:r>
      <w:r w:rsidRPr="009641AB">
        <w:tab/>
        <w:t>PI-E</w:t>
      </w:r>
      <w:r w:rsidRPr="009641AB">
        <w:tab/>
      </w:r>
      <w:r w:rsidRPr="009641AB">
        <w:tab/>
      </w:r>
      <w:r w:rsidRPr="009641AB">
        <w:tab/>
        <w:t>0,7-1,2 kg/m</w:t>
      </w:r>
      <w:r w:rsidRPr="009641AB">
        <w:rPr>
          <w:vertAlign w:val="superscript"/>
        </w:rPr>
        <w:t>2</w:t>
      </w:r>
    </w:p>
    <w:p w:rsidR="009641AB" w:rsidRPr="009641AB" w:rsidRDefault="009641AB" w:rsidP="009641AB">
      <w:pPr>
        <w:spacing w:line="240" w:lineRule="atLeast"/>
        <w:jc w:val="both"/>
      </w:pPr>
      <w:r w:rsidRPr="009641AB">
        <w:t xml:space="preserve">Štěrk částečně vyplněný cementovou maltou   </w:t>
      </w:r>
      <w:r w:rsidRPr="009641AB">
        <w:tab/>
        <w:t>ŠCM</w:t>
      </w:r>
      <w:r w:rsidRPr="009641AB">
        <w:tab/>
        <w:t xml:space="preserve">                       </w:t>
      </w:r>
      <w:r w:rsidRPr="009641AB">
        <w:tab/>
        <w:t>200 mm</w:t>
      </w:r>
    </w:p>
    <w:p w:rsidR="00645ECE" w:rsidRPr="009641AB" w:rsidRDefault="00645ECE" w:rsidP="00645ECE">
      <w:pPr>
        <w:spacing w:line="240" w:lineRule="atLeast"/>
        <w:jc w:val="both"/>
        <w:rPr>
          <w:u w:val="single"/>
        </w:rPr>
      </w:pPr>
      <w:r w:rsidRPr="009641AB">
        <w:rPr>
          <w:u w:val="single"/>
        </w:rPr>
        <w:t xml:space="preserve">Štěrkodrť    </w:t>
      </w:r>
      <w:r w:rsidRPr="009641AB">
        <w:rPr>
          <w:u w:val="single"/>
        </w:rPr>
        <w:tab/>
        <w:t xml:space="preserve">   </w:t>
      </w:r>
      <w:r w:rsidRPr="009641AB">
        <w:rPr>
          <w:u w:val="single"/>
        </w:rPr>
        <w:tab/>
      </w:r>
      <w:r w:rsidRPr="009641AB">
        <w:rPr>
          <w:u w:val="single"/>
        </w:rPr>
        <w:tab/>
      </w:r>
      <w:r w:rsidRPr="009641AB">
        <w:rPr>
          <w:u w:val="single"/>
        </w:rPr>
        <w:tab/>
      </w:r>
      <w:r w:rsidRPr="009641AB">
        <w:rPr>
          <w:u w:val="single"/>
        </w:rPr>
        <w:tab/>
        <w:t>ŠD</w:t>
      </w:r>
      <w:r w:rsidRPr="009641AB">
        <w:rPr>
          <w:u w:val="single"/>
          <w:vertAlign w:val="subscript"/>
        </w:rPr>
        <w:t>A</w:t>
      </w:r>
      <w:r w:rsidRPr="009641AB">
        <w:rPr>
          <w:u w:val="single"/>
        </w:rPr>
        <w:tab/>
        <w:t xml:space="preserve">   </w:t>
      </w:r>
      <w:proofErr w:type="gramStart"/>
      <w:r w:rsidRPr="009641AB">
        <w:rPr>
          <w:u w:val="single"/>
        </w:rPr>
        <w:tab/>
        <w:t xml:space="preserve">  min.</w:t>
      </w:r>
      <w:proofErr w:type="gramEnd"/>
      <w:r w:rsidRPr="009641AB">
        <w:rPr>
          <w:u w:val="single"/>
        </w:rPr>
        <w:t xml:space="preserve"> 150 mm</w:t>
      </w:r>
    </w:p>
    <w:p w:rsidR="00645ECE" w:rsidRPr="009641AB" w:rsidRDefault="00645ECE" w:rsidP="00645ECE">
      <w:pPr>
        <w:spacing w:line="240" w:lineRule="atLeast"/>
        <w:jc w:val="both"/>
      </w:pPr>
      <w:r w:rsidRPr="009641AB">
        <w:t>Celkem</w:t>
      </w:r>
      <w:r w:rsidRPr="009641AB">
        <w:tab/>
      </w:r>
      <w:r w:rsidRPr="009641AB">
        <w:tab/>
      </w:r>
      <w:r w:rsidRPr="009641AB">
        <w:tab/>
      </w:r>
      <w:r w:rsidRPr="009641AB">
        <w:tab/>
      </w:r>
      <w:r w:rsidRPr="009641AB">
        <w:tab/>
      </w:r>
      <w:r w:rsidRPr="009641AB">
        <w:tab/>
        <w:t xml:space="preserve"> </w:t>
      </w:r>
      <w:r w:rsidRPr="009641AB">
        <w:tab/>
        <w:t xml:space="preserve">              min. 4</w:t>
      </w:r>
      <w:r w:rsidR="009641AB" w:rsidRPr="009641AB">
        <w:t>5</w:t>
      </w:r>
      <w:r w:rsidRPr="009641AB">
        <w:t>0 mm</w:t>
      </w:r>
    </w:p>
    <w:p w:rsidR="00645ECE" w:rsidRPr="00912901" w:rsidRDefault="00645ECE" w:rsidP="00645ECE">
      <w:pPr>
        <w:spacing w:line="240" w:lineRule="atLeast"/>
        <w:jc w:val="both"/>
      </w:pPr>
      <w:r w:rsidRPr="00912901">
        <w:t>Konstrukce parkovacího pruhu je ve složení:</w:t>
      </w:r>
    </w:p>
    <w:p w:rsidR="00645ECE" w:rsidRPr="00912901" w:rsidRDefault="00645ECE" w:rsidP="00645ECE">
      <w:pPr>
        <w:spacing w:line="240" w:lineRule="atLeast"/>
        <w:jc w:val="both"/>
      </w:pPr>
      <w:r w:rsidRPr="00912901">
        <w:t xml:space="preserve">Zámková dlažba                    </w:t>
      </w:r>
      <w:r w:rsidRPr="00912901">
        <w:tab/>
      </w:r>
      <w:r w:rsidRPr="00912901">
        <w:tab/>
      </w:r>
      <w:r w:rsidRPr="00912901">
        <w:tab/>
        <w:t>ZD</w:t>
      </w:r>
      <w:r w:rsidRPr="00912901">
        <w:tab/>
      </w:r>
      <w:r w:rsidRPr="00912901">
        <w:tab/>
        <w:t xml:space="preserve"> </w:t>
      </w:r>
      <w:r w:rsidRPr="00912901">
        <w:tab/>
        <w:t>80 mm</w:t>
      </w:r>
    </w:p>
    <w:p w:rsidR="00645ECE" w:rsidRPr="00912901" w:rsidRDefault="00645ECE" w:rsidP="00645ECE">
      <w:pPr>
        <w:spacing w:line="240" w:lineRule="atLeast"/>
        <w:jc w:val="both"/>
      </w:pPr>
      <w:r w:rsidRPr="00912901">
        <w:t xml:space="preserve">Kamenivo drcené                     </w:t>
      </w:r>
      <w:r w:rsidRPr="00912901">
        <w:tab/>
      </w:r>
      <w:r w:rsidRPr="00912901">
        <w:tab/>
      </w:r>
      <w:r w:rsidRPr="00912901">
        <w:tab/>
        <w:t xml:space="preserve">D      </w:t>
      </w:r>
      <w:r w:rsidRPr="00912901">
        <w:tab/>
      </w:r>
      <w:r w:rsidRPr="00912901">
        <w:tab/>
      </w:r>
      <w:r w:rsidRPr="00912901">
        <w:tab/>
        <w:t>40 mm</w:t>
      </w:r>
    </w:p>
    <w:p w:rsidR="00645ECE" w:rsidRPr="00912901" w:rsidRDefault="00645ECE" w:rsidP="00645ECE">
      <w:pPr>
        <w:spacing w:line="240" w:lineRule="atLeast"/>
        <w:jc w:val="both"/>
      </w:pPr>
      <w:r w:rsidRPr="00912901">
        <w:t>Mechanicky zpevněné kamenivo</w:t>
      </w:r>
      <w:r w:rsidRPr="00912901">
        <w:tab/>
      </w:r>
      <w:r w:rsidRPr="00912901">
        <w:tab/>
        <w:t>MZK</w:t>
      </w:r>
      <w:r w:rsidRPr="00912901">
        <w:tab/>
      </w:r>
      <w:r w:rsidRPr="00912901">
        <w:tab/>
        <w:t xml:space="preserve">          </w:t>
      </w:r>
      <w:r w:rsidR="005401B6" w:rsidRPr="00912901">
        <w:t xml:space="preserve">150 </w:t>
      </w:r>
      <w:r w:rsidRPr="00912901">
        <w:t>mm</w:t>
      </w:r>
    </w:p>
    <w:p w:rsidR="00645ECE" w:rsidRPr="00912901" w:rsidRDefault="00645ECE" w:rsidP="00645ECE">
      <w:pPr>
        <w:spacing w:line="240" w:lineRule="atLeast"/>
        <w:jc w:val="both"/>
        <w:rPr>
          <w:u w:val="single"/>
        </w:rPr>
      </w:pPr>
      <w:proofErr w:type="gramStart"/>
      <w:r w:rsidRPr="00912901">
        <w:rPr>
          <w:u w:val="single"/>
        </w:rPr>
        <w:t xml:space="preserve">Štěrkodrť  </w:t>
      </w:r>
      <w:r w:rsidRPr="00912901">
        <w:rPr>
          <w:u w:val="single"/>
        </w:rPr>
        <w:tab/>
      </w:r>
      <w:proofErr w:type="gramEnd"/>
      <w:r w:rsidRPr="00912901">
        <w:rPr>
          <w:u w:val="single"/>
        </w:rPr>
        <w:t xml:space="preserve">   </w:t>
      </w:r>
      <w:r w:rsidRPr="00912901">
        <w:rPr>
          <w:u w:val="single"/>
        </w:rPr>
        <w:tab/>
      </w:r>
      <w:r w:rsidRPr="00912901">
        <w:rPr>
          <w:u w:val="single"/>
        </w:rPr>
        <w:tab/>
      </w:r>
      <w:r w:rsidRPr="00912901">
        <w:rPr>
          <w:u w:val="single"/>
        </w:rPr>
        <w:tab/>
      </w:r>
      <w:r w:rsidRPr="00912901">
        <w:rPr>
          <w:u w:val="single"/>
        </w:rPr>
        <w:tab/>
        <w:t>ŠD</w:t>
      </w:r>
      <w:r w:rsidRPr="00912901">
        <w:rPr>
          <w:u w:val="single"/>
          <w:vertAlign w:val="subscript"/>
        </w:rPr>
        <w:t>A</w:t>
      </w:r>
      <w:r w:rsidRPr="00912901">
        <w:rPr>
          <w:u w:val="single"/>
        </w:rPr>
        <w:tab/>
        <w:t xml:space="preserve">   </w:t>
      </w:r>
      <w:r w:rsidRPr="00912901">
        <w:rPr>
          <w:u w:val="single"/>
        </w:rPr>
        <w:tab/>
        <w:t xml:space="preserve">  min. 150 mm</w:t>
      </w:r>
    </w:p>
    <w:p w:rsidR="00645ECE" w:rsidRPr="00912901" w:rsidRDefault="00645ECE" w:rsidP="00645ECE">
      <w:pPr>
        <w:spacing w:line="240" w:lineRule="atLeast"/>
        <w:jc w:val="both"/>
      </w:pPr>
      <w:r w:rsidRPr="00912901">
        <w:t>Celkem</w:t>
      </w:r>
      <w:r w:rsidRPr="00912901">
        <w:tab/>
      </w:r>
      <w:r w:rsidRPr="00912901">
        <w:tab/>
      </w:r>
      <w:r w:rsidRPr="00912901">
        <w:tab/>
      </w:r>
      <w:r w:rsidRPr="00912901">
        <w:tab/>
      </w:r>
      <w:r w:rsidRPr="00912901">
        <w:tab/>
      </w:r>
      <w:r w:rsidRPr="00912901">
        <w:tab/>
        <w:t xml:space="preserve"> </w:t>
      </w:r>
      <w:r w:rsidRPr="00912901">
        <w:tab/>
        <w:t xml:space="preserve">              min. 4</w:t>
      </w:r>
      <w:r w:rsidR="00912901" w:rsidRPr="00912901">
        <w:t>2</w:t>
      </w:r>
      <w:r w:rsidRPr="00912901">
        <w:t>0 mm</w:t>
      </w:r>
    </w:p>
    <w:p w:rsidR="00645ECE" w:rsidRPr="001B6757" w:rsidRDefault="00645ECE" w:rsidP="00645ECE">
      <w:pPr>
        <w:spacing w:line="240" w:lineRule="atLeast"/>
        <w:jc w:val="both"/>
      </w:pPr>
      <w:r w:rsidRPr="001B6757">
        <w:t>Konstrukce</w:t>
      </w:r>
      <w:r w:rsidR="0000507C">
        <w:t xml:space="preserve"> náběhu</w:t>
      </w:r>
      <w:r w:rsidRPr="001B6757">
        <w:t xml:space="preserve"> </w:t>
      </w:r>
      <w:r w:rsidR="001B6757">
        <w:t>zpomalovacího prahu</w:t>
      </w:r>
      <w:r w:rsidRPr="001B6757">
        <w:t xml:space="preserve"> je ve složení:</w:t>
      </w:r>
    </w:p>
    <w:p w:rsidR="00645ECE" w:rsidRPr="001B6757" w:rsidRDefault="00645ECE" w:rsidP="00645ECE">
      <w:pPr>
        <w:spacing w:line="240" w:lineRule="atLeast"/>
        <w:jc w:val="both"/>
      </w:pPr>
      <w:r w:rsidRPr="001B6757">
        <w:t xml:space="preserve">Drobná kostka                     </w:t>
      </w:r>
      <w:r w:rsidRPr="001B6757">
        <w:tab/>
      </w:r>
      <w:r w:rsidRPr="001B6757">
        <w:tab/>
      </w:r>
      <w:r w:rsidRPr="001B6757">
        <w:tab/>
        <w:t>KD</w:t>
      </w:r>
      <w:r w:rsidRPr="001B6757">
        <w:tab/>
      </w:r>
      <w:r w:rsidRPr="001B6757">
        <w:tab/>
        <w:t xml:space="preserve">           100 mm</w:t>
      </w:r>
    </w:p>
    <w:p w:rsidR="00645ECE" w:rsidRPr="001B6757" w:rsidRDefault="00645ECE" w:rsidP="00645ECE">
      <w:pPr>
        <w:spacing w:line="240" w:lineRule="atLeast"/>
        <w:jc w:val="both"/>
      </w:pPr>
      <w:r w:rsidRPr="001B6757">
        <w:t xml:space="preserve">Kamenivo drcené                     </w:t>
      </w:r>
      <w:r w:rsidRPr="001B6757">
        <w:tab/>
      </w:r>
      <w:r w:rsidRPr="001B6757">
        <w:tab/>
      </w:r>
      <w:r w:rsidRPr="001B6757">
        <w:tab/>
        <w:t xml:space="preserve">D      </w:t>
      </w:r>
      <w:r w:rsidRPr="001B6757">
        <w:tab/>
      </w:r>
      <w:r w:rsidRPr="001B6757">
        <w:tab/>
      </w:r>
      <w:r w:rsidR="001B6757" w:rsidRPr="001B6757">
        <w:tab/>
      </w:r>
      <w:r w:rsidRPr="001B6757">
        <w:t>50 mm</w:t>
      </w:r>
    </w:p>
    <w:p w:rsidR="0060185B" w:rsidRPr="001B6757" w:rsidRDefault="0060185B" w:rsidP="0060185B">
      <w:pPr>
        <w:spacing w:line="240" w:lineRule="atLeast"/>
        <w:jc w:val="both"/>
      </w:pPr>
      <w:r w:rsidRPr="001B6757">
        <w:t xml:space="preserve">Štěrk částečně vyplněný cementovou maltou   </w:t>
      </w:r>
      <w:r w:rsidRPr="001B6757">
        <w:tab/>
        <w:t>ŠCM</w:t>
      </w:r>
      <w:r w:rsidRPr="001B6757">
        <w:tab/>
        <w:t xml:space="preserve">                       200 mm</w:t>
      </w:r>
    </w:p>
    <w:p w:rsidR="00645ECE" w:rsidRPr="001B6757" w:rsidRDefault="00645ECE" w:rsidP="00645ECE">
      <w:pPr>
        <w:spacing w:line="240" w:lineRule="atLeast"/>
        <w:jc w:val="both"/>
        <w:rPr>
          <w:u w:val="single"/>
        </w:rPr>
      </w:pPr>
      <w:proofErr w:type="gramStart"/>
      <w:r w:rsidRPr="001B6757">
        <w:rPr>
          <w:u w:val="single"/>
        </w:rPr>
        <w:t xml:space="preserve">Štěrkodrť  </w:t>
      </w:r>
      <w:r w:rsidRPr="001B6757">
        <w:rPr>
          <w:u w:val="single"/>
        </w:rPr>
        <w:tab/>
      </w:r>
      <w:proofErr w:type="gramEnd"/>
      <w:r w:rsidRPr="001B6757">
        <w:rPr>
          <w:u w:val="single"/>
        </w:rPr>
        <w:t xml:space="preserve">   </w:t>
      </w:r>
      <w:r w:rsidRPr="001B6757">
        <w:rPr>
          <w:u w:val="single"/>
        </w:rPr>
        <w:tab/>
      </w:r>
      <w:r w:rsidRPr="001B6757">
        <w:rPr>
          <w:u w:val="single"/>
        </w:rPr>
        <w:tab/>
      </w:r>
      <w:r w:rsidRPr="001B6757">
        <w:rPr>
          <w:u w:val="single"/>
        </w:rPr>
        <w:tab/>
      </w:r>
      <w:r w:rsidRPr="001B6757">
        <w:rPr>
          <w:u w:val="single"/>
        </w:rPr>
        <w:tab/>
        <w:t>ŠD</w:t>
      </w:r>
      <w:r w:rsidRPr="001B6757">
        <w:rPr>
          <w:u w:val="single"/>
          <w:vertAlign w:val="subscript"/>
        </w:rPr>
        <w:t>A</w:t>
      </w:r>
      <w:r w:rsidRPr="001B6757">
        <w:rPr>
          <w:u w:val="single"/>
        </w:rPr>
        <w:tab/>
        <w:t xml:space="preserve">   </w:t>
      </w:r>
      <w:r w:rsidRPr="001B6757">
        <w:rPr>
          <w:u w:val="single"/>
        </w:rPr>
        <w:tab/>
        <w:t xml:space="preserve">  min. </w:t>
      </w:r>
      <w:r w:rsidR="001B6757" w:rsidRPr="001B6757">
        <w:rPr>
          <w:u w:val="single"/>
        </w:rPr>
        <w:t>23</w:t>
      </w:r>
      <w:r w:rsidRPr="001B6757">
        <w:rPr>
          <w:u w:val="single"/>
        </w:rPr>
        <w:t>0 mm</w:t>
      </w:r>
    </w:p>
    <w:p w:rsidR="00645ECE" w:rsidRPr="001B6757" w:rsidRDefault="00645ECE" w:rsidP="00645ECE">
      <w:pPr>
        <w:spacing w:line="240" w:lineRule="atLeast"/>
        <w:jc w:val="both"/>
      </w:pPr>
      <w:r w:rsidRPr="001B6757">
        <w:t>Celkem</w:t>
      </w:r>
      <w:r w:rsidRPr="001B6757">
        <w:tab/>
      </w:r>
      <w:r w:rsidRPr="001B6757">
        <w:tab/>
      </w:r>
      <w:r w:rsidRPr="001B6757">
        <w:tab/>
      </w:r>
      <w:r w:rsidRPr="001B6757">
        <w:tab/>
      </w:r>
      <w:r w:rsidRPr="001B6757">
        <w:tab/>
      </w:r>
      <w:r w:rsidRPr="001B6757">
        <w:tab/>
        <w:t xml:space="preserve"> </w:t>
      </w:r>
      <w:r w:rsidRPr="001B6757">
        <w:tab/>
        <w:t xml:space="preserve">              min. 5</w:t>
      </w:r>
      <w:r w:rsidR="001B6757" w:rsidRPr="001B6757">
        <w:t>5</w:t>
      </w:r>
      <w:r w:rsidRPr="001B6757">
        <w:t>0 mm</w:t>
      </w:r>
    </w:p>
    <w:p w:rsidR="00645ECE" w:rsidRPr="00912901" w:rsidRDefault="00645ECE" w:rsidP="00645ECE">
      <w:pPr>
        <w:spacing w:line="240" w:lineRule="atLeast"/>
        <w:jc w:val="both"/>
      </w:pPr>
      <w:r w:rsidRPr="00912901">
        <w:t>Chodník je navržen ze zámkové dlažby kladené do drti na podkladu ze 150 mm štěrkodrti. Ve vjezdech bude navíc vrstva 150 mm štěrkodrti.</w:t>
      </w:r>
    </w:p>
    <w:p w:rsidR="00645ECE" w:rsidRPr="00570623" w:rsidRDefault="00570623" w:rsidP="00570623">
      <w:pPr>
        <w:spacing w:line="240" w:lineRule="atLeast"/>
        <w:jc w:val="both"/>
      </w:pPr>
      <w:r w:rsidRPr="00F508FB">
        <w:t>V rámci akce byl prov</w:t>
      </w:r>
      <w:r w:rsidR="0000507C">
        <w:t>e</w:t>
      </w:r>
      <w:r w:rsidRPr="00F508FB">
        <w:t>d</w:t>
      </w:r>
      <w:r w:rsidR="0000507C">
        <w:t>e</w:t>
      </w:r>
      <w:r w:rsidRPr="00F508FB">
        <w:t xml:space="preserve">n geologický průzkum. V podloží komunikace byly zastiženy zeminy nižších geotechnických kvalit – které jsou ve smyslu ČSN 736133 podmínečně vhodné do násypů a podmínečně vhodné až nevhodné pro podloží vozovky (pro aktivní zónu). Z toho důvodu se počítá s výměnou podloží </w:t>
      </w:r>
      <w:r w:rsidRPr="00570623">
        <w:t xml:space="preserve">v tloušťce 45 cm. </w:t>
      </w:r>
      <w:r w:rsidR="00645ECE" w:rsidRPr="00570623">
        <w:t xml:space="preserve">Při zahájení prací bude provedeno geotechnické zatřídění skutečně zastižených materiálů a konkrétní tloušťka výměny se dohodne za účasti investora při realizaci. </w:t>
      </w:r>
    </w:p>
    <w:p w:rsidR="00645ECE" w:rsidRPr="00570623" w:rsidRDefault="00645ECE" w:rsidP="00645ECE">
      <w:pPr>
        <w:ind w:firstLine="709"/>
        <w:jc w:val="both"/>
      </w:pPr>
      <w:r w:rsidRPr="00570623">
        <w:t xml:space="preserve">V celé mocnosti aktivní zóny (ve smyslu ČSN 73 6133) musí být dodržena předepsaná míra zhutnění nejméně </w:t>
      </w:r>
      <w:proofErr w:type="gramStart"/>
      <w:r w:rsidRPr="00570623">
        <w:t>100%</w:t>
      </w:r>
      <w:proofErr w:type="gramEnd"/>
      <w:r w:rsidRPr="00570623">
        <w:t xml:space="preserve"> </w:t>
      </w:r>
      <w:proofErr w:type="spellStart"/>
      <w:r w:rsidRPr="00570623">
        <w:t>Proctor</w:t>
      </w:r>
      <w:proofErr w:type="spellEnd"/>
      <w:r w:rsidRPr="00570623">
        <w:t xml:space="preserve"> standard. Na pláni musí být dosažena nejmenší hodnota modulu přetvárnosti z druhého zatěžovacího cyklu E</w:t>
      </w:r>
      <w:r w:rsidRPr="00570623">
        <w:rPr>
          <w:vertAlign w:val="subscript"/>
        </w:rPr>
        <w:t>def,2</w:t>
      </w:r>
      <w:r w:rsidRPr="00570623">
        <w:t xml:space="preserve">=45 </w:t>
      </w:r>
      <w:proofErr w:type="spellStart"/>
      <w:r w:rsidRPr="00570623">
        <w:t>MPa</w:t>
      </w:r>
      <w:proofErr w:type="spellEnd"/>
      <w:r w:rsidRPr="00570623">
        <w:t xml:space="preserve"> stanoveného dle ČSN72 1006.</w:t>
      </w:r>
    </w:p>
    <w:p w:rsidR="00645ECE" w:rsidRPr="00570623" w:rsidRDefault="00645ECE" w:rsidP="00645ECE">
      <w:pPr>
        <w:ind w:firstLine="709"/>
        <w:jc w:val="both"/>
      </w:pPr>
      <w:r w:rsidRPr="00570623">
        <w:t>Při provádění je nutno provést následující opatření:</w:t>
      </w:r>
    </w:p>
    <w:p w:rsidR="00645ECE" w:rsidRPr="00570623" w:rsidRDefault="00645ECE" w:rsidP="00645ECE">
      <w:pPr>
        <w:ind w:firstLine="709"/>
        <w:jc w:val="both"/>
      </w:pPr>
      <w:r w:rsidRPr="00570623">
        <w:t xml:space="preserve">- terénní práce organizovat tak, aby nedošlo k narušení </w:t>
      </w:r>
      <w:proofErr w:type="gramStart"/>
      <w:r w:rsidRPr="00570623">
        <w:t>pláně - dodatečné</w:t>
      </w:r>
      <w:proofErr w:type="gramEnd"/>
      <w:r w:rsidRPr="00570623">
        <w:t xml:space="preserve"> hutnění je obtížně proveditelné.</w:t>
      </w:r>
    </w:p>
    <w:p w:rsidR="00645ECE" w:rsidRPr="00570623" w:rsidRDefault="00645ECE" w:rsidP="00645ECE">
      <w:pPr>
        <w:ind w:firstLine="709"/>
        <w:jc w:val="both"/>
      </w:pPr>
      <w:r w:rsidRPr="00570623">
        <w:t>- veškeré sítě vedené v trase komunikace je nutno provést z úrovně stávajícího terénu</w:t>
      </w:r>
    </w:p>
    <w:p w:rsidR="00645ECE" w:rsidRPr="00570623" w:rsidRDefault="00645ECE" w:rsidP="00645ECE">
      <w:pPr>
        <w:ind w:firstLine="709"/>
        <w:jc w:val="both"/>
      </w:pPr>
      <w:r w:rsidRPr="00570623">
        <w:t xml:space="preserve">- zemní práce provádět tak, že po pláni se nebude pohybovat žádný mechanizmus kromě hutnící </w:t>
      </w:r>
      <w:proofErr w:type="gramStart"/>
      <w:r w:rsidRPr="00570623">
        <w:t>techniky - zásadně</w:t>
      </w:r>
      <w:proofErr w:type="gramEnd"/>
      <w:r w:rsidRPr="00570623">
        <w:t xml:space="preserve"> pouze lehká hutnící technika.</w:t>
      </w:r>
    </w:p>
    <w:p w:rsidR="00645ECE" w:rsidRPr="00570623" w:rsidRDefault="00645ECE" w:rsidP="00645ECE">
      <w:pPr>
        <w:ind w:firstLine="709"/>
        <w:jc w:val="both"/>
      </w:pPr>
      <w:r w:rsidRPr="00570623">
        <w:t xml:space="preserve">- v případě deštivého počasí je nutno práce přerušit a zajistit urychlené odvádění vody z výkopu. </w:t>
      </w:r>
    </w:p>
    <w:p w:rsidR="00645ECE" w:rsidRPr="00570623" w:rsidRDefault="00645ECE" w:rsidP="00645ECE">
      <w:pPr>
        <w:ind w:firstLine="709"/>
        <w:jc w:val="both"/>
      </w:pPr>
      <w:r w:rsidRPr="00570623">
        <w:t>- v případě že nebude dosažena požadovaná únosnost pláně, je nutno nevhodné zeminy odtěžit do hloubky cca 9</w:t>
      </w:r>
      <w:r w:rsidR="0000507C">
        <w:t>0</w:t>
      </w:r>
      <w:r w:rsidRPr="00570623">
        <w:t xml:space="preserve"> cm pod navrženou niveletu. Tato „</w:t>
      </w:r>
      <w:proofErr w:type="spellStart"/>
      <w:r w:rsidRPr="00570623">
        <w:t>pseudopláň</w:t>
      </w:r>
      <w:proofErr w:type="spellEnd"/>
      <w:r w:rsidRPr="00570623">
        <w:t xml:space="preserve">“ nebude hutněna a nebude po ní jezdit žádný mechanismus. Na </w:t>
      </w:r>
      <w:proofErr w:type="spellStart"/>
      <w:r w:rsidRPr="00570623">
        <w:t>pseudopláň</w:t>
      </w:r>
      <w:proofErr w:type="spellEnd"/>
      <w:r w:rsidRPr="00570623">
        <w:t xml:space="preserve"> budou v tenkých vrstvách ukládány vhodné materiály (počítá se s použitím vybouraných štěrkových vrstev a dovozem nakoupených vhodných materiálů) a řádně hutněny až do úrovně silniční pláně. Ihned budou pokládány konstrukční vrstvy vozovky. </w:t>
      </w:r>
    </w:p>
    <w:p w:rsidR="00BB0666" w:rsidRPr="009641AB" w:rsidRDefault="00BB0666" w:rsidP="00645ECE">
      <w:pPr>
        <w:ind w:firstLine="709"/>
        <w:jc w:val="both"/>
        <w:rPr>
          <w:highlight w:val="lightGray"/>
        </w:rPr>
      </w:pPr>
    </w:p>
    <w:p w:rsidR="00645ECE" w:rsidRPr="000A2CCB" w:rsidRDefault="00645ECE" w:rsidP="00645ECE">
      <w:pPr>
        <w:pStyle w:val="Nadpis1"/>
      </w:pPr>
      <w:bookmarkStart w:id="41" w:name="_Toc432676382"/>
      <w:bookmarkStart w:id="42" w:name="_Toc526251955"/>
      <w:r w:rsidRPr="000A2CCB">
        <w:t>Odvodnění</w:t>
      </w:r>
      <w:bookmarkEnd w:id="41"/>
      <w:bookmarkEnd w:id="42"/>
    </w:p>
    <w:p w:rsidR="00645ECE" w:rsidRPr="00534057" w:rsidRDefault="00645ECE" w:rsidP="00534057">
      <w:pPr>
        <w:ind w:firstLine="709"/>
        <w:jc w:val="both"/>
      </w:pPr>
      <w:r w:rsidRPr="000A2CCB">
        <w:t>Odvedení povrchových vod bude zajišťovat podélný a příčný sklon vozovky</w:t>
      </w:r>
      <w:r w:rsidR="00281BF7">
        <w:t xml:space="preserve">. Voda bude odváděna </w:t>
      </w:r>
      <w:r w:rsidRPr="00EA3DF7">
        <w:t>podél obrubníků</w:t>
      </w:r>
      <w:r w:rsidR="00281BF7" w:rsidRPr="00EA3DF7">
        <w:t xml:space="preserve"> po levé straně</w:t>
      </w:r>
      <w:r w:rsidRPr="00EA3DF7">
        <w:t xml:space="preserve"> vpusťmi do kanalizace.</w:t>
      </w:r>
      <w:r w:rsidR="00D5552D">
        <w:t xml:space="preserve"> U vjezdu v km 0,225 po levé straně bude zachována pásová vpust, ta bude výškově upravena.</w:t>
      </w:r>
      <w:r w:rsidRPr="00EA3DF7">
        <w:t xml:space="preserve"> </w:t>
      </w:r>
      <w:r w:rsidR="00EA3DF7" w:rsidRPr="00EA3DF7">
        <w:t>Na</w:t>
      </w:r>
      <w:r w:rsidRPr="00EA3DF7">
        <w:t xml:space="preserve"> kanalizace se vpusti napojí </w:t>
      </w:r>
      <w:r w:rsidR="00EA3DF7" w:rsidRPr="00EA3DF7">
        <w:t>do vysazených odboček</w:t>
      </w:r>
      <w:r w:rsidRPr="00EA3DF7">
        <w:t xml:space="preserve">. Jsou navrženy prefabrikované vpusti s </w:t>
      </w:r>
      <w:proofErr w:type="spellStart"/>
      <w:r w:rsidRPr="00EA3DF7">
        <w:t>protizápachovou</w:t>
      </w:r>
      <w:proofErr w:type="spellEnd"/>
      <w:r w:rsidRPr="00EA3DF7">
        <w:t xml:space="preserve"> uzávěrou. Přípojka z </w:t>
      </w:r>
      <w:r w:rsidR="00EA3DF7">
        <w:t>plastové</w:t>
      </w:r>
      <w:r w:rsidRPr="00EA3DF7">
        <w:t xml:space="preserve"> trouby</w:t>
      </w:r>
      <w:r w:rsidRPr="000A2CCB">
        <w:t xml:space="preserve"> DN 150 bude obetonována a obsypána štěrkopískem. Obsyp je třeba řádně hutnit. Pláň je odvodněna sklonem 3</w:t>
      </w:r>
      <w:r w:rsidR="00D5552D">
        <w:t> </w:t>
      </w:r>
      <w:r w:rsidRPr="000A2CCB">
        <w:t xml:space="preserve">% do podélného trativodu, který se zapojí do </w:t>
      </w:r>
      <w:proofErr w:type="spellStart"/>
      <w:r w:rsidRPr="000A2CCB">
        <w:t>odvrtů</w:t>
      </w:r>
      <w:proofErr w:type="spellEnd"/>
      <w:r w:rsidRPr="000A2CCB">
        <w:t xml:space="preserve"> v</w:t>
      </w:r>
      <w:r w:rsidR="00692342" w:rsidRPr="000A2CCB">
        <w:t> </w:t>
      </w:r>
      <w:r w:rsidR="00EA3DF7">
        <w:t>ul</w:t>
      </w:r>
      <w:r w:rsidRPr="000A2CCB">
        <w:t>ičních vpust</w:t>
      </w:r>
      <w:r w:rsidR="00EA3DF7">
        <w:t>ech</w:t>
      </w:r>
      <w:r w:rsidRPr="00534057">
        <w:t>.</w:t>
      </w:r>
      <w:bookmarkStart w:id="43" w:name="_Hlk498625681"/>
      <w:r w:rsidRPr="00534057">
        <w:t xml:space="preserve"> S vodami bude dále nakládáno původním způsobem.</w:t>
      </w:r>
    </w:p>
    <w:p w:rsidR="00645ECE" w:rsidRPr="000A2CCB" w:rsidRDefault="00645ECE" w:rsidP="00645ECE">
      <w:pPr>
        <w:pStyle w:val="Nadpis1"/>
      </w:pPr>
      <w:bookmarkStart w:id="44" w:name="_Toc432676383"/>
      <w:bookmarkStart w:id="45" w:name="_Toc526251956"/>
      <w:bookmarkEnd w:id="43"/>
      <w:r w:rsidRPr="000A2CCB">
        <w:t>Inženýrské sítě</w:t>
      </w:r>
      <w:bookmarkStart w:id="46" w:name="_GoBack"/>
      <w:bookmarkEnd w:id="44"/>
      <w:bookmarkEnd w:id="45"/>
      <w:bookmarkEnd w:id="46"/>
    </w:p>
    <w:p w:rsidR="00645ECE" w:rsidRPr="000A2CCB" w:rsidRDefault="00645ECE" w:rsidP="00645ECE">
      <w:pPr>
        <w:spacing w:line="240" w:lineRule="atLeast"/>
        <w:ind w:firstLine="432"/>
        <w:jc w:val="both"/>
      </w:pPr>
      <w:r w:rsidRPr="000A2CCB">
        <w:t>Ze stávajících sítí se zde dále nachází kanalizace, vodovod, podzemní vedení N</w:t>
      </w:r>
      <w:r w:rsidR="000A2CCB" w:rsidRPr="000A2CCB">
        <w:t>N, VN</w:t>
      </w:r>
      <w:r w:rsidRPr="000A2CCB">
        <w:t xml:space="preserve"> i VO, telekomunikační kabely a plynovod. Pro veškeré inženýrské sítě (nové i původní) platí nutnost nechat je vytýčit správci a dbát jejich podmínek. Inženýrské sítě budou pro stavbu vytýčeny a označeny, v případě potřeby budou dodavatelem chráněny před poškozením. </w:t>
      </w:r>
    </w:p>
    <w:p w:rsidR="00645ECE" w:rsidRPr="009A4CF8" w:rsidRDefault="00645ECE" w:rsidP="00645ECE">
      <w:pPr>
        <w:ind w:firstLine="709"/>
        <w:jc w:val="both"/>
      </w:pPr>
      <w:r w:rsidRPr="009A4CF8">
        <w:t xml:space="preserve">Pod vozovkou a v souběhu pod </w:t>
      </w:r>
      <w:r w:rsidR="00F80E1F" w:rsidRPr="009A4CF8">
        <w:t xml:space="preserve">vjezdy </w:t>
      </w:r>
      <w:r w:rsidR="009A4CF8" w:rsidRPr="009A4CF8">
        <w:t xml:space="preserve">do nemovitostí </w:t>
      </w:r>
      <w:r w:rsidRPr="009A4CF8">
        <w:t>vedou kabely NN</w:t>
      </w:r>
      <w:r w:rsidR="009A4CF8" w:rsidRPr="009A4CF8">
        <w:t>, VN</w:t>
      </w:r>
      <w:r w:rsidRPr="009A4CF8">
        <w:t xml:space="preserve"> a telekomunikační kabely. Při stavbě bude po vytýčení vedení opatrně ručně bez použití ostrého nářadí </w:t>
      </w:r>
      <w:proofErr w:type="spellStart"/>
      <w:r w:rsidRPr="009A4CF8">
        <w:t>nasondováno</w:t>
      </w:r>
      <w:proofErr w:type="spellEnd"/>
      <w:r w:rsidRPr="009A4CF8">
        <w:t xml:space="preserve"> a ověřeno. Kolem kabelu pod vozovkou se přiloží chránička z prefabrikovaného žlábku, přiloží se rezerva a celé těleso chráničky se obetonuje. Vyústění chrániček bude až za obrubu. Chránička bude obsypána štěrkopískem.</w:t>
      </w:r>
    </w:p>
    <w:p w:rsidR="00645ECE" w:rsidRPr="009157D2" w:rsidRDefault="00645ECE" w:rsidP="00645ECE">
      <w:pPr>
        <w:ind w:firstLine="709"/>
        <w:jc w:val="both"/>
      </w:pPr>
      <w:r w:rsidRPr="009157D2">
        <w:t>Výstavba komunikace bude</w:t>
      </w:r>
      <w:r w:rsidR="000A2CCB" w:rsidRPr="009157D2">
        <w:t xml:space="preserve"> koordinována </w:t>
      </w:r>
      <w:r w:rsidR="00831BD0" w:rsidRPr="009157D2">
        <w:t xml:space="preserve">s výstavbou kanalizace, vedením VO a </w:t>
      </w:r>
      <w:r w:rsidR="002D5122" w:rsidRPr="009157D2">
        <w:t xml:space="preserve">přeložkami sdělovacího kabelu. </w:t>
      </w:r>
      <w:r w:rsidR="009157D2" w:rsidRPr="009157D2">
        <w:t>Podrobnosti k nově budovaným sítím jsou v samostatných objektech projektové dokumentace.</w:t>
      </w:r>
      <w:r w:rsidRPr="009157D2">
        <w:t xml:space="preserve"> </w:t>
      </w:r>
    </w:p>
    <w:p w:rsidR="00645ECE" w:rsidRPr="00582612" w:rsidRDefault="00645ECE" w:rsidP="00645ECE">
      <w:pPr>
        <w:pStyle w:val="Nadpis1"/>
      </w:pPr>
      <w:bookmarkStart w:id="47" w:name="_Toc432676384"/>
      <w:bookmarkStart w:id="48" w:name="_Toc526251957"/>
      <w:r w:rsidRPr="00582612">
        <w:t>Dopravní značení</w:t>
      </w:r>
      <w:bookmarkEnd w:id="47"/>
      <w:bookmarkEnd w:id="48"/>
    </w:p>
    <w:p w:rsidR="00645ECE" w:rsidRPr="00582612" w:rsidRDefault="00645ECE" w:rsidP="00645ECE">
      <w:pPr>
        <w:ind w:firstLine="432"/>
        <w:jc w:val="both"/>
      </w:pPr>
      <w:r w:rsidRPr="00582612">
        <w:t xml:space="preserve">Režim provozu na nové komunikaci bude upřesněn dopravním značením. Ulice </w:t>
      </w:r>
      <w:r w:rsidR="00F15E2A" w:rsidRPr="00582612">
        <w:t>Jungmannova</w:t>
      </w:r>
      <w:r w:rsidRPr="00582612">
        <w:t xml:space="preserve"> </w:t>
      </w:r>
      <w:r w:rsidR="00F15E2A" w:rsidRPr="00582612">
        <w:t>bude</w:t>
      </w:r>
      <w:r w:rsidRPr="00582612">
        <w:t xml:space="preserve"> mít nově charakter Zóny 30. Svislým značením bud</w:t>
      </w:r>
      <w:r w:rsidR="00582612" w:rsidRPr="00582612">
        <w:t>e</w:t>
      </w:r>
      <w:r w:rsidRPr="00582612">
        <w:t xml:space="preserve"> označen začát</w:t>
      </w:r>
      <w:r w:rsidR="00582612" w:rsidRPr="00582612">
        <w:t>ek</w:t>
      </w:r>
      <w:r w:rsidRPr="00582612">
        <w:t xml:space="preserve"> a konce zóny. </w:t>
      </w:r>
      <w:r w:rsidR="00582612" w:rsidRPr="00582612">
        <w:t>Vjezd do zóny je zdůrazněn zpomalovacím prahem na vjezdu do ulice.</w:t>
      </w:r>
    </w:p>
    <w:p w:rsidR="00645ECE" w:rsidRPr="00857251" w:rsidRDefault="00645ECE" w:rsidP="00645ECE">
      <w:pPr>
        <w:pStyle w:val="Nadpis1"/>
      </w:pPr>
      <w:bookmarkStart w:id="49" w:name="_Toc432676385"/>
      <w:bookmarkStart w:id="50" w:name="_Toc526251958"/>
      <w:r w:rsidRPr="00853E27">
        <w:t xml:space="preserve">Opatření zabezpečující užívání stavby osobami s omezenou </w:t>
      </w:r>
      <w:r w:rsidRPr="00857251">
        <w:t>schopností pohybu a orientace</w:t>
      </w:r>
      <w:bookmarkEnd w:id="49"/>
      <w:bookmarkEnd w:id="50"/>
    </w:p>
    <w:p w:rsidR="00645ECE" w:rsidRPr="00857251" w:rsidRDefault="00645ECE" w:rsidP="00645ECE">
      <w:pPr>
        <w:ind w:firstLine="432"/>
        <w:jc w:val="both"/>
      </w:pPr>
      <w:r w:rsidRPr="00857251">
        <w:t xml:space="preserve">Povrch ploch musí být rovný, pevný a upravený proti skluzu. Dlažba bude mít součinitel smykového tření min. 0,5. Použité výrobky pro hmatové úpravy musí splňovat technické požadavky na vybrané stavební výrobky v souladu s NV 163/2002 Sb., NV 312/2005 Sb. a TN TZÚS 12.03.04.-06. </w:t>
      </w:r>
    </w:p>
    <w:p w:rsidR="00645ECE" w:rsidRPr="00857251" w:rsidRDefault="00645ECE" w:rsidP="00645ECE">
      <w:pPr>
        <w:rPr>
          <w:u w:val="single"/>
        </w:rPr>
      </w:pPr>
      <w:r w:rsidRPr="00857251">
        <w:rPr>
          <w:u w:val="single"/>
        </w:rPr>
        <w:t>10.1 Zásady řešení pro osoby s omezenou schopností pohybu</w:t>
      </w:r>
    </w:p>
    <w:p w:rsidR="00645ECE" w:rsidRPr="00857251" w:rsidRDefault="00857251" w:rsidP="00645ECE">
      <w:pPr>
        <w:spacing w:before="0" w:line="240" w:lineRule="atLeast"/>
        <w:ind w:firstLine="709"/>
        <w:jc w:val="both"/>
      </w:pPr>
      <w:r w:rsidRPr="00857251">
        <w:t>V</w:t>
      </w:r>
      <w:r w:rsidR="00645ECE" w:rsidRPr="00857251">
        <w:t xml:space="preserve"> navazující ulic</w:t>
      </w:r>
      <w:r w:rsidRPr="00857251">
        <w:t>i</w:t>
      </w:r>
      <w:r w:rsidR="00EA3DF7">
        <w:t xml:space="preserve"> Čechove</w:t>
      </w:r>
      <w:r w:rsidR="00645ECE" w:rsidRPr="00857251">
        <w:t xml:space="preserve"> je veden stávající chodník. Na něj se napojuje chodník v ul. </w:t>
      </w:r>
      <w:r w:rsidRPr="00857251">
        <w:t>Jungmannova</w:t>
      </w:r>
      <w:r w:rsidR="00645ECE" w:rsidRPr="00857251">
        <w:t>. Ten je veden po obou stranách v celé délce ulice.</w:t>
      </w:r>
      <w:r w:rsidR="00EA3DF7">
        <w:t xml:space="preserve"> Místo pro přecházení je navrženo v prodloužení trasy u ul. Čechovy. zde bude osazen nájezdový obrubník s nadvýšením 2 cm.</w:t>
      </w:r>
    </w:p>
    <w:p w:rsidR="00645ECE" w:rsidRPr="00857251" w:rsidRDefault="00645ECE" w:rsidP="00645ECE">
      <w:pPr>
        <w:spacing w:before="0" w:line="240" w:lineRule="atLeast"/>
        <w:ind w:firstLine="709"/>
        <w:jc w:val="both"/>
      </w:pPr>
      <w:r w:rsidRPr="00857251">
        <w:t xml:space="preserve">Povrch ploch musí být rovný, pevný a upravený proti skluzu. Dlažba bude mít součinitel smykového tření min. 0,5. Použité výrobky pro hmatové úpravy musí splňovat technické požadavky na vybrané stavební výrobky v souladu s NV 163/2002 Sb., NV 312/2005 Sb. a TN TZÚS 12.03.04.-06. </w:t>
      </w:r>
    </w:p>
    <w:p w:rsidR="00645ECE" w:rsidRPr="008E6975" w:rsidRDefault="00645ECE" w:rsidP="00645ECE">
      <w:pPr>
        <w:keepNext/>
        <w:keepLines/>
        <w:rPr>
          <w:u w:val="single"/>
        </w:rPr>
      </w:pPr>
      <w:r w:rsidRPr="008E6975">
        <w:rPr>
          <w:u w:val="single"/>
        </w:rPr>
        <w:t>10.2 Zásady řešení pro osoby se zrakovým postižením</w:t>
      </w:r>
    </w:p>
    <w:p w:rsidR="00645ECE" w:rsidRPr="00857251" w:rsidRDefault="00645ECE" w:rsidP="00645ECE">
      <w:pPr>
        <w:keepNext/>
        <w:keepLines/>
        <w:spacing w:before="0" w:line="240" w:lineRule="atLeast"/>
        <w:ind w:firstLine="709"/>
        <w:jc w:val="both"/>
      </w:pPr>
      <w:r w:rsidRPr="008E6975">
        <w:t>Jako přirozená vodicí linie bude sloužit</w:t>
      </w:r>
      <w:r w:rsidR="008E6975" w:rsidRPr="008E6975">
        <w:t xml:space="preserve"> stávající</w:t>
      </w:r>
      <w:r w:rsidRPr="008E6975">
        <w:t xml:space="preserve"> zástavba. Podél chodníku se osadí chodníkový </w:t>
      </w:r>
      <w:r w:rsidRPr="00857251">
        <w:t xml:space="preserve">obrubník s nadvýšením </w:t>
      </w:r>
      <w:r w:rsidR="008E6975" w:rsidRPr="00857251">
        <w:t>větším než 6</w:t>
      </w:r>
      <w:r w:rsidRPr="00857251">
        <w:t xml:space="preserve"> cm. </w:t>
      </w:r>
    </w:p>
    <w:p w:rsidR="00645ECE" w:rsidRDefault="00EA3DF7" w:rsidP="00645ECE">
      <w:pPr>
        <w:spacing w:before="0" w:line="240" w:lineRule="atLeast"/>
        <w:ind w:firstLine="709"/>
        <w:jc w:val="both"/>
      </w:pPr>
      <w:r>
        <w:t xml:space="preserve">U </w:t>
      </w:r>
      <w:r w:rsidR="00645ECE" w:rsidRPr="00857251">
        <w:t>míst</w:t>
      </w:r>
      <w:r>
        <w:t>a</w:t>
      </w:r>
      <w:r w:rsidR="00645ECE" w:rsidRPr="00857251">
        <w:t xml:space="preserve"> pro přecházení bude strukturou zámkové dlažby zřízen varovný pás, použit je reliéfní typ, tzv. „slepecký“. Šířka této úpravy je minimálně 40 cm. Přesah varovného pásu je po obou stranách </w:t>
      </w:r>
      <w:smartTag w:uri="urn:schemas-microsoft-com:office:smarttags" w:element="metricconverter">
        <w:smartTagPr>
          <w:attr w:name="ProductID" w:val="55 cm"/>
        </w:smartTagPr>
        <w:r w:rsidR="00645ECE" w:rsidRPr="00857251">
          <w:t>55 cm</w:t>
        </w:r>
      </w:smartTag>
      <w:r w:rsidR="00645ECE" w:rsidRPr="00857251">
        <w:t xml:space="preserve"> za sníženou část obrubníku. Toto opatření slouží jako varování před výškovým rozdílem větším než 80 mm. U</w:t>
      </w:r>
      <w:r w:rsidR="00645ECE" w:rsidRPr="008E6975">
        <w:t xml:space="preserve"> místa pro přecházení na začátku úpravy bude zřízen signální pás š. 80 cm, mezera mezi varovným a signálním pásem bude 30 cm.</w:t>
      </w:r>
    </w:p>
    <w:p w:rsidR="00EA3DF7" w:rsidRPr="008E6975" w:rsidRDefault="00EA3DF7" w:rsidP="00645ECE">
      <w:pPr>
        <w:spacing w:before="0" w:line="240" w:lineRule="atLeast"/>
        <w:ind w:firstLine="709"/>
        <w:jc w:val="both"/>
      </w:pPr>
      <w:r>
        <w:t>vjezdů přístupných přímo z vozovky bude varovný pás zřízen v návaznosti na nájezdový obrubník. u vjezdů oddělených od vozovky zelenou plochou, bude varovný pás zřízen za vnější hranou chodníku.</w:t>
      </w:r>
    </w:p>
    <w:p w:rsidR="00645ECE" w:rsidRPr="00FC46FB" w:rsidRDefault="00645ECE" w:rsidP="00645ECE">
      <w:pPr>
        <w:rPr>
          <w:u w:val="single"/>
        </w:rPr>
      </w:pPr>
      <w:r w:rsidRPr="00FC46FB">
        <w:rPr>
          <w:u w:val="single"/>
        </w:rPr>
        <w:t>10.3 Zásady řešení pro osoby se sluchovým postižením</w:t>
      </w:r>
    </w:p>
    <w:p w:rsidR="00645ECE" w:rsidRPr="00FC46FB" w:rsidRDefault="00645ECE" w:rsidP="00645ECE">
      <w:r w:rsidRPr="00FC46FB">
        <w:tab/>
        <w:t>Neřeší se.</w:t>
      </w:r>
    </w:p>
    <w:p w:rsidR="00645ECE" w:rsidRPr="00FC46FB" w:rsidRDefault="00645ECE" w:rsidP="00645ECE">
      <w:pPr>
        <w:rPr>
          <w:u w:val="single"/>
        </w:rPr>
      </w:pPr>
      <w:r w:rsidRPr="00FC46FB">
        <w:rPr>
          <w:u w:val="single"/>
        </w:rPr>
        <w:t>10.4 Použití stavebních výrobků pro bezbariérová řešení</w:t>
      </w:r>
    </w:p>
    <w:p w:rsidR="00645ECE" w:rsidRDefault="00645ECE" w:rsidP="00645ECE">
      <w:pPr>
        <w:ind w:firstLine="432"/>
      </w:pPr>
      <w:r w:rsidRPr="00FC46FB">
        <w:t>Povrch pochozích ploch bude rovný pevný a upravený proti skluzu. Nášlapná vrstva bude mít součinitel smykového tření min. 0,5.</w:t>
      </w:r>
    </w:p>
    <w:p w:rsidR="00645ECE" w:rsidRPr="00EB2868" w:rsidRDefault="00645ECE" w:rsidP="00645ECE">
      <w:pPr>
        <w:pStyle w:val="Nadpis1"/>
      </w:pPr>
      <w:bookmarkStart w:id="51" w:name="_Toc432676386"/>
      <w:bookmarkStart w:id="52" w:name="_Toc526251959"/>
      <w:r w:rsidRPr="00EB2868">
        <w:t>Zemní práce</w:t>
      </w:r>
      <w:bookmarkEnd w:id="51"/>
      <w:bookmarkEnd w:id="52"/>
    </w:p>
    <w:p w:rsidR="00645ECE" w:rsidRPr="00EB2868" w:rsidRDefault="00645ECE" w:rsidP="00645ECE">
      <w:pPr>
        <w:ind w:firstLine="432"/>
        <w:jc w:val="both"/>
      </w:pPr>
      <w:r w:rsidRPr="00EB2868">
        <w:t xml:space="preserve">Jedná se o odstranění stávající vozovky a výkopy pro novou konstrukci a výměnu podložních zemin. V celé mocnosti aktivní zóny (ve smyslu ČSN 73 6133) musí být dodržena předepsaná míra zhutnění nejméně </w:t>
      </w:r>
      <w:proofErr w:type="gramStart"/>
      <w:r w:rsidRPr="00EB2868">
        <w:t>100%</w:t>
      </w:r>
      <w:proofErr w:type="gramEnd"/>
      <w:r w:rsidRPr="00EB2868">
        <w:t xml:space="preserve"> </w:t>
      </w:r>
      <w:proofErr w:type="spellStart"/>
      <w:r w:rsidRPr="00EB2868">
        <w:t>Proctor</w:t>
      </w:r>
      <w:proofErr w:type="spellEnd"/>
      <w:r w:rsidRPr="00EB2868">
        <w:t xml:space="preserve"> standard. Na pláni musí být dosažena nejmenší hodnota modulu přetvárnosti z druhého zatěžovacího cyklu E</w:t>
      </w:r>
      <w:r w:rsidRPr="00EB2868">
        <w:rPr>
          <w:vertAlign w:val="subscript"/>
        </w:rPr>
        <w:t>def,2</w:t>
      </w:r>
      <w:r w:rsidRPr="00EB2868">
        <w:t xml:space="preserve"> = 45 </w:t>
      </w:r>
      <w:proofErr w:type="spellStart"/>
      <w:r w:rsidRPr="00EB2868">
        <w:t>MPa</w:t>
      </w:r>
      <w:proofErr w:type="spellEnd"/>
      <w:r w:rsidRPr="00EB2868">
        <w:t xml:space="preserve"> stanoveného dle ČSN 72 1006 (1998). Plání se rozumí horní plocha násypu. Pro budování násypu musí být předepsán technologický postup a násyp se </w:t>
      </w:r>
      <w:proofErr w:type="gramStart"/>
      <w:r w:rsidRPr="00EB2868">
        <w:t>musí  budovat</w:t>
      </w:r>
      <w:proofErr w:type="gramEnd"/>
      <w:r w:rsidRPr="00EB2868">
        <w:t xml:space="preserve"> pod dohledem odborného dozoru. Při návrhu, realizaci, kontrole a přebírání násypu je nutno dodržet ČSN 73 6133 (2010) "Navrhování a provádění zemního tělesa pozemních komunikací". Během realizace násypu je nutné provádět pravidelné zkoušky ve smyslu ČSN 72 1006 "Kontrola zhutnění zemin a sypanin". </w:t>
      </w:r>
    </w:p>
    <w:p w:rsidR="00645ECE" w:rsidRPr="00EB2868" w:rsidRDefault="00645ECE" w:rsidP="00645ECE">
      <w:pPr>
        <w:ind w:firstLine="432"/>
        <w:jc w:val="both"/>
      </w:pPr>
      <w:r w:rsidRPr="00EB2868">
        <w:t xml:space="preserve">Výměnu podloží i násypy je třeba provést z dostatečně kvalitního, </w:t>
      </w:r>
      <w:proofErr w:type="spellStart"/>
      <w:r w:rsidRPr="00EB2868">
        <w:t>nenamrzavého</w:t>
      </w:r>
      <w:proofErr w:type="spellEnd"/>
      <w:r w:rsidRPr="00EB2868">
        <w:t xml:space="preserve"> a zhutnitelného materiálu. V rozpočtu je udávána kubatura hotové vrstvy. Na výměnu se počítá i s využitím materiálu z vybourané konstrukce vozovky. V rámci položky nákup vhodného materiálu je třeba započítat i jeho dopravu na staveniště.</w:t>
      </w:r>
    </w:p>
    <w:p w:rsidR="00645ECE" w:rsidRPr="001C0176" w:rsidRDefault="00645ECE" w:rsidP="00645ECE">
      <w:pPr>
        <w:pStyle w:val="Nadpis1"/>
      </w:pPr>
      <w:bookmarkStart w:id="53" w:name="_Toc432676387"/>
      <w:bookmarkStart w:id="54" w:name="_Toc526251960"/>
      <w:r w:rsidRPr="001C0176">
        <w:t>Provádění</w:t>
      </w:r>
      <w:bookmarkEnd w:id="53"/>
      <w:bookmarkEnd w:id="54"/>
    </w:p>
    <w:p w:rsidR="00645ECE" w:rsidRPr="001C0176" w:rsidRDefault="00645ECE" w:rsidP="00645ECE">
      <w:pPr>
        <w:ind w:firstLine="432"/>
        <w:jc w:val="both"/>
      </w:pPr>
      <w:r w:rsidRPr="001C0176">
        <w:t>Vzhledem k charakteru okolní zástavby není možné lokalitu zcela uzavřít. Je tedy třeba provádět práce po částech, aby byla zachována možnost obsluhy přilehlých nemovitostí. Postup prací bude před realizací dohodnut s investorem.</w:t>
      </w:r>
    </w:p>
    <w:p w:rsidR="00645ECE" w:rsidRPr="00755081" w:rsidRDefault="00645ECE" w:rsidP="00645ECE">
      <w:pPr>
        <w:pStyle w:val="Nadpis1"/>
      </w:pPr>
      <w:bookmarkStart w:id="55" w:name="_Toc432676388"/>
      <w:bookmarkStart w:id="56" w:name="_Toc526251961"/>
      <w:r w:rsidRPr="00755081">
        <w:t>Různé</w:t>
      </w:r>
      <w:bookmarkEnd w:id="55"/>
      <w:bookmarkEnd w:id="56"/>
    </w:p>
    <w:p w:rsidR="00645ECE" w:rsidRPr="00755081" w:rsidRDefault="00645ECE" w:rsidP="00645ECE">
      <w:pPr>
        <w:ind w:firstLine="432"/>
        <w:jc w:val="both"/>
      </w:pPr>
      <w:r w:rsidRPr="00755081">
        <w:t xml:space="preserve">Práce budou provedeny podle ČSN, dodavatel bude dodržovat technologii jednotlivých konstrukčních vrstev. V případě pochybností při postupu prací je nutno ihned uvědomit projektanta k dohodnutí dalšího postupu. </w:t>
      </w:r>
    </w:p>
    <w:p w:rsidR="00645ECE" w:rsidRPr="00755081" w:rsidRDefault="00645ECE" w:rsidP="00645ECE">
      <w:pPr>
        <w:ind w:firstLine="432"/>
        <w:jc w:val="both"/>
      </w:pPr>
      <w:r w:rsidRPr="00755081">
        <w:t>Dodavatel při zahájení prací odebere vzorek podložní zeminy a zajistí zjednodušené geotechnické posouzení zemin v podloží silnice k ověření předpokládaného materiálu. Pokud bude nutno, bude konstrukce silnice upravena.</w:t>
      </w:r>
    </w:p>
    <w:p w:rsidR="00645ECE" w:rsidRPr="00755081" w:rsidRDefault="00645ECE" w:rsidP="00645ECE">
      <w:pPr>
        <w:ind w:firstLine="432"/>
        <w:jc w:val="both"/>
      </w:pPr>
      <w:r w:rsidRPr="00755081">
        <w:t xml:space="preserve">Před zahájením prací dodavatel zdokumentuje (fotografie, video, záznamy s jednotlivými vlastníky nemovitostí, které jeví různé </w:t>
      </w:r>
      <w:proofErr w:type="gramStart"/>
      <w:r w:rsidRPr="00755081">
        <w:t>poruchy - praskliny</w:t>
      </w:r>
      <w:proofErr w:type="gramEnd"/>
      <w:r w:rsidRPr="00755081">
        <w:t xml:space="preserve">...) stav objektů na staveništi pro případ nárokování náhrad škod vzniklých v souvislosti se stavbou.  </w:t>
      </w:r>
    </w:p>
    <w:p w:rsidR="00D2339A" w:rsidRDefault="00645ECE" w:rsidP="00D2339A">
      <w:pPr>
        <w:ind w:firstLine="432"/>
        <w:jc w:val="both"/>
      </w:pPr>
      <w:r w:rsidRPr="00755081">
        <w:t>Při provádění bude dodavatel dodržovat veškeré bezpečnostní předpisy. Soustavně bude pečovat o umožnění přístupu obyvatel do nemovitostí.</w:t>
      </w:r>
    </w:p>
    <w:p w:rsidR="00D2339A" w:rsidRDefault="00D2339A" w:rsidP="00D2339A">
      <w:pPr>
        <w:ind w:firstLine="432"/>
        <w:jc w:val="both"/>
      </w:pPr>
    </w:p>
    <w:p w:rsidR="00D2339A" w:rsidRDefault="00D2339A" w:rsidP="00D2339A">
      <w:pPr>
        <w:tabs>
          <w:tab w:val="right" w:pos="9356"/>
        </w:tabs>
        <w:ind w:right="-2"/>
        <w:jc w:val="both"/>
      </w:pPr>
    </w:p>
    <w:p w:rsidR="00D2339A" w:rsidRDefault="00D2339A" w:rsidP="00D2339A">
      <w:pPr>
        <w:tabs>
          <w:tab w:val="right" w:pos="9356"/>
        </w:tabs>
        <w:ind w:right="-2"/>
        <w:jc w:val="both"/>
      </w:pPr>
    </w:p>
    <w:p w:rsidR="00D2339A" w:rsidRDefault="00D2339A" w:rsidP="00D2339A">
      <w:pPr>
        <w:tabs>
          <w:tab w:val="right" w:pos="9356"/>
        </w:tabs>
        <w:ind w:right="-2"/>
        <w:jc w:val="both"/>
      </w:pPr>
      <w:r>
        <w:t>V Brně,</w:t>
      </w:r>
      <w:r w:rsidR="005973F5">
        <w:t xml:space="preserve"> </w:t>
      </w:r>
      <w:r w:rsidR="00041FCF">
        <w:t>leden 2019</w:t>
      </w:r>
      <w:r>
        <w:tab/>
        <w:t>Ing.</w:t>
      </w:r>
      <w:r w:rsidR="00BB774A">
        <w:t xml:space="preserve"> Anna </w:t>
      </w:r>
      <w:r>
        <w:t>Juríková</w:t>
      </w:r>
    </w:p>
    <w:sectPr w:rsidR="00D2339A" w:rsidSect="00BD6661">
      <w:headerReference w:type="default" r:id="rId8"/>
      <w:footerReference w:type="default" r:id="rId9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B62" w:rsidRDefault="00816B62">
      <w:r>
        <w:separator/>
      </w:r>
    </w:p>
    <w:p w:rsidR="00816B62" w:rsidRDefault="00816B62"/>
  </w:endnote>
  <w:endnote w:type="continuationSeparator" w:id="0">
    <w:p w:rsidR="00816B62" w:rsidRDefault="00816B62">
      <w:r>
        <w:continuationSeparator/>
      </w:r>
    </w:p>
    <w:p w:rsidR="00816B62" w:rsidRDefault="00816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B62" w:rsidRDefault="00816B62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REF Datum_hl \h </w:instrText>
    </w:r>
    <w:r>
      <w:fldChar w:fldCharType="separate"/>
    </w:r>
    <w:r>
      <w:t>0</w:t>
    </w:r>
    <w:r w:rsidR="00041FCF">
      <w:t>1</w:t>
    </w:r>
    <w:r>
      <w:t>/201</w:t>
    </w:r>
    <w:r w:rsidR="00041FCF">
      <w:t>9</w:t>
    </w:r>
    <w:r>
      <w:fldChar w:fldCharType="end"/>
    </w:r>
  </w:p>
  <w:p w:rsidR="00816B62" w:rsidRDefault="00041FCF" w:rsidP="00D54C65">
    <w:pPr>
      <w:pStyle w:val="Zpat"/>
      <w:tabs>
        <w:tab w:val="clear" w:pos="8505"/>
        <w:tab w:val="right" w:pos="9639"/>
      </w:tabs>
    </w:pPr>
    <w:r>
      <w:t>DPS</w:t>
    </w:r>
    <w:r w:rsidR="00816B62">
      <w:tab/>
    </w:r>
    <w:r w:rsidR="00816B62">
      <w:fldChar w:fldCharType="begin"/>
    </w:r>
    <w:r w:rsidR="00816B62">
      <w:instrText xml:space="preserve"> PAGE  \* MERGEFORMAT </w:instrText>
    </w:r>
    <w:r w:rsidR="00816B62">
      <w:fldChar w:fldCharType="separate"/>
    </w:r>
    <w:r w:rsidR="00816B62">
      <w:t>2</w:t>
    </w:r>
    <w:r w:rsidR="00816B62">
      <w:fldChar w:fldCharType="end"/>
    </w:r>
    <w:r w:rsidR="00816B62">
      <w:t xml:space="preserve"> / </w:t>
    </w:r>
    <w:fldSimple w:instr=" NUMPAGES  \* MERGEFORMAT ">
      <w:r w:rsidR="00816B62">
        <w:t>3</w:t>
      </w:r>
    </w:fldSimple>
  </w:p>
  <w:p w:rsidR="00816B62" w:rsidRDefault="00816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B62" w:rsidRDefault="00816B62">
      <w:r>
        <w:separator/>
      </w:r>
    </w:p>
    <w:p w:rsidR="00816B62" w:rsidRDefault="00816B62"/>
  </w:footnote>
  <w:footnote w:type="continuationSeparator" w:id="0">
    <w:p w:rsidR="00816B62" w:rsidRDefault="00816B62">
      <w:r>
        <w:continuationSeparator/>
      </w:r>
    </w:p>
    <w:p w:rsidR="00816B62" w:rsidRDefault="00816B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994"/>
      <w:gridCol w:w="2641"/>
    </w:tblGrid>
    <w:tr w:rsidR="00816B62">
      <w:tc>
        <w:tcPr>
          <w:tcW w:w="7128" w:type="dxa"/>
          <w:tcBorders>
            <w:bottom w:val="single" w:sz="4" w:space="0" w:color="006699"/>
          </w:tcBorders>
          <w:vAlign w:val="center"/>
        </w:tcPr>
        <w:p w:rsidR="00816B62" w:rsidRDefault="00816B62" w:rsidP="0057276A">
          <w:pPr>
            <w:pStyle w:val="Zhlav"/>
          </w:pPr>
          <w:r>
            <w:t>REKONSTRUKCE UL. JUNGMANNOVA, ŠLAPANICE</w:t>
          </w:r>
        </w:p>
      </w:tc>
      <w:tc>
        <w:tcPr>
          <w:tcW w:w="2649" w:type="dxa"/>
        </w:tcPr>
        <w:p w:rsidR="00816B62" w:rsidRDefault="00816B62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16B62" w:rsidRDefault="00816B62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>
      <w:rPr>
        <w:sz w:val="12"/>
        <w:szCs w:val="12"/>
      </w:rPr>
      <w:t>1451416-1</w:t>
    </w:r>
    <w:r w:rsidR="00041FCF">
      <w:rPr>
        <w:sz w:val="12"/>
        <w:szCs w:val="12"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D2E17F2"/>
    <w:multiLevelType w:val="hybridMultilevel"/>
    <w:tmpl w:val="DFD68E54"/>
    <w:lvl w:ilvl="0" w:tplc="27C2AB16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07C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41FCF"/>
    <w:rsid w:val="000529BD"/>
    <w:rsid w:val="00052B43"/>
    <w:rsid w:val="0005305E"/>
    <w:rsid w:val="00054101"/>
    <w:rsid w:val="00057D1F"/>
    <w:rsid w:val="0006587E"/>
    <w:rsid w:val="00065B6B"/>
    <w:rsid w:val="00067044"/>
    <w:rsid w:val="000712AD"/>
    <w:rsid w:val="00075138"/>
    <w:rsid w:val="00077C09"/>
    <w:rsid w:val="00080147"/>
    <w:rsid w:val="00081666"/>
    <w:rsid w:val="000835A5"/>
    <w:rsid w:val="0009372F"/>
    <w:rsid w:val="000945B8"/>
    <w:rsid w:val="0009747A"/>
    <w:rsid w:val="000A2CCB"/>
    <w:rsid w:val="000B0E78"/>
    <w:rsid w:val="000B16DD"/>
    <w:rsid w:val="000B2FC4"/>
    <w:rsid w:val="000B4E6A"/>
    <w:rsid w:val="000B5998"/>
    <w:rsid w:val="000C0476"/>
    <w:rsid w:val="000C39AD"/>
    <w:rsid w:val="000C4B02"/>
    <w:rsid w:val="000C57A5"/>
    <w:rsid w:val="000C7546"/>
    <w:rsid w:val="000D1FFA"/>
    <w:rsid w:val="000D2562"/>
    <w:rsid w:val="000E6434"/>
    <w:rsid w:val="000F01A1"/>
    <w:rsid w:val="000F14C5"/>
    <w:rsid w:val="000F5A64"/>
    <w:rsid w:val="000F66FC"/>
    <w:rsid w:val="00100504"/>
    <w:rsid w:val="00112A43"/>
    <w:rsid w:val="00112AEE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649E2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B6757"/>
    <w:rsid w:val="001C0176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25A8"/>
    <w:rsid w:val="00214177"/>
    <w:rsid w:val="002222E5"/>
    <w:rsid w:val="00225894"/>
    <w:rsid w:val="002264B0"/>
    <w:rsid w:val="0022759B"/>
    <w:rsid w:val="002301CB"/>
    <w:rsid w:val="00233931"/>
    <w:rsid w:val="00234B2E"/>
    <w:rsid w:val="0024694C"/>
    <w:rsid w:val="002516CB"/>
    <w:rsid w:val="002524BE"/>
    <w:rsid w:val="00254F5D"/>
    <w:rsid w:val="00276B71"/>
    <w:rsid w:val="00281BF7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1823"/>
    <w:rsid w:val="002D1B1B"/>
    <w:rsid w:val="002D4B05"/>
    <w:rsid w:val="002D5122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21BAA"/>
    <w:rsid w:val="00324BB4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11F9"/>
    <w:rsid w:val="003F52CE"/>
    <w:rsid w:val="00400A5E"/>
    <w:rsid w:val="00402EB6"/>
    <w:rsid w:val="0041630C"/>
    <w:rsid w:val="00416E78"/>
    <w:rsid w:val="0041711D"/>
    <w:rsid w:val="00417BBB"/>
    <w:rsid w:val="00421535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22D5A"/>
    <w:rsid w:val="0052531B"/>
    <w:rsid w:val="005321A0"/>
    <w:rsid w:val="0053340E"/>
    <w:rsid w:val="00534057"/>
    <w:rsid w:val="00536AAD"/>
    <w:rsid w:val="00536BE1"/>
    <w:rsid w:val="005401B6"/>
    <w:rsid w:val="005401D9"/>
    <w:rsid w:val="00540AEC"/>
    <w:rsid w:val="00557A74"/>
    <w:rsid w:val="00561C86"/>
    <w:rsid w:val="00566035"/>
    <w:rsid w:val="00570623"/>
    <w:rsid w:val="005717FB"/>
    <w:rsid w:val="0057276A"/>
    <w:rsid w:val="00573D9C"/>
    <w:rsid w:val="00582612"/>
    <w:rsid w:val="00584052"/>
    <w:rsid w:val="00585AAD"/>
    <w:rsid w:val="00592EA0"/>
    <w:rsid w:val="005971B7"/>
    <w:rsid w:val="005973F5"/>
    <w:rsid w:val="005B0860"/>
    <w:rsid w:val="005B148D"/>
    <w:rsid w:val="005B2972"/>
    <w:rsid w:val="005B3E3C"/>
    <w:rsid w:val="005B3F93"/>
    <w:rsid w:val="005B5685"/>
    <w:rsid w:val="005B5B56"/>
    <w:rsid w:val="005C2130"/>
    <w:rsid w:val="005C2888"/>
    <w:rsid w:val="005C46F2"/>
    <w:rsid w:val="005C7082"/>
    <w:rsid w:val="005D0C68"/>
    <w:rsid w:val="005E1FD8"/>
    <w:rsid w:val="005E52A6"/>
    <w:rsid w:val="005E56EA"/>
    <w:rsid w:val="005E627D"/>
    <w:rsid w:val="005F19FD"/>
    <w:rsid w:val="005F7046"/>
    <w:rsid w:val="0060091F"/>
    <w:rsid w:val="0060185B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5ECE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92342"/>
    <w:rsid w:val="006A1AED"/>
    <w:rsid w:val="006B0D94"/>
    <w:rsid w:val="006B147B"/>
    <w:rsid w:val="006B2C4F"/>
    <w:rsid w:val="006B52B1"/>
    <w:rsid w:val="006B6093"/>
    <w:rsid w:val="006B6A6F"/>
    <w:rsid w:val="006C02FB"/>
    <w:rsid w:val="006C120D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55081"/>
    <w:rsid w:val="00762E57"/>
    <w:rsid w:val="00766C1B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6B62"/>
    <w:rsid w:val="0081718A"/>
    <w:rsid w:val="00823912"/>
    <w:rsid w:val="00831BD0"/>
    <w:rsid w:val="008325A4"/>
    <w:rsid w:val="008328BB"/>
    <w:rsid w:val="008330E3"/>
    <w:rsid w:val="00833BD3"/>
    <w:rsid w:val="0084241A"/>
    <w:rsid w:val="00847011"/>
    <w:rsid w:val="00853E27"/>
    <w:rsid w:val="00857251"/>
    <w:rsid w:val="00860A36"/>
    <w:rsid w:val="008623A7"/>
    <w:rsid w:val="008639D6"/>
    <w:rsid w:val="00864F57"/>
    <w:rsid w:val="008705BA"/>
    <w:rsid w:val="00873487"/>
    <w:rsid w:val="00873F1F"/>
    <w:rsid w:val="00874BD0"/>
    <w:rsid w:val="008800E9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180"/>
    <w:rsid w:val="008E1D15"/>
    <w:rsid w:val="008E39A6"/>
    <w:rsid w:val="008E3E8E"/>
    <w:rsid w:val="008E6975"/>
    <w:rsid w:val="008F0DE2"/>
    <w:rsid w:val="008F264F"/>
    <w:rsid w:val="008F71A3"/>
    <w:rsid w:val="00900161"/>
    <w:rsid w:val="00902C61"/>
    <w:rsid w:val="009036F9"/>
    <w:rsid w:val="00903882"/>
    <w:rsid w:val="00906F8B"/>
    <w:rsid w:val="00910F39"/>
    <w:rsid w:val="00912901"/>
    <w:rsid w:val="009157D2"/>
    <w:rsid w:val="00920A04"/>
    <w:rsid w:val="00923132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1079"/>
    <w:rsid w:val="009641AB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A4CF8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38E5"/>
    <w:rsid w:val="00A641C9"/>
    <w:rsid w:val="00A64B14"/>
    <w:rsid w:val="00A673CD"/>
    <w:rsid w:val="00A77059"/>
    <w:rsid w:val="00A81E4B"/>
    <w:rsid w:val="00A87DD4"/>
    <w:rsid w:val="00A9190F"/>
    <w:rsid w:val="00A94057"/>
    <w:rsid w:val="00AB4934"/>
    <w:rsid w:val="00AB4ADA"/>
    <w:rsid w:val="00AC1D29"/>
    <w:rsid w:val="00AC3AD2"/>
    <w:rsid w:val="00AC3D46"/>
    <w:rsid w:val="00AC524B"/>
    <w:rsid w:val="00AD033A"/>
    <w:rsid w:val="00AD2E91"/>
    <w:rsid w:val="00AD5B9F"/>
    <w:rsid w:val="00AE2C31"/>
    <w:rsid w:val="00AE5BEC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2915"/>
    <w:rsid w:val="00B339E7"/>
    <w:rsid w:val="00B45184"/>
    <w:rsid w:val="00B56367"/>
    <w:rsid w:val="00B6302C"/>
    <w:rsid w:val="00B63256"/>
    <w:rsid w:val="00B666E5"/>
    <w:rsid w:val="00B70277"/>
    <w:rsid w:val="00B712E3"/>
    <w:rsid w:val="00B720B7"/>
    <w:rsid w:val="00B73BB1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1EC"/>
    <w:rsid w:val="00BA4547"/>
    <w:rsid w:val="00BB0666"/>
    <w:rsid w:val="00BB4888"/>
    <w:rsid w:val="00BB774A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1A88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62333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6725"/>
    <w:rsid w:val="00CD3C9F"/>
    <w:rsid w:val="00CD4354"/>
    <w:rsid w:val="00CE1751"/>
    <w:rsid w:val="00CE2702"/>
    <w:rsid w:val="00CE2992"/>
    <w:rsid w:val="00CF276F"/>
    <w:rsid w:val="00CF2B3A"/>
    <w:rsid w:val="00CF52D0"/>
    <w:rsid w:val="00D0459C"/>
    <w:rsid w:val="00D112EF"/>
    <w:rsid w:val="00D12D70"/>
    <w:rsid w:val="00D1319A"/>
    <w:rsid w:val="00D21078"/>
    <w:rsid w:val="00D2339A"/>
    <w:rsid w:val="00D270B6"/>
    <w:rsid w:val="00D30C73"/>
    <w:rsid w:val="00D30C90"/>
    <w:rsid w:val="00D3582B"/>
    <w:rsid w:val="00D35BC9"/>
    <w:rsid w:val="00D4141C"/>
    <w:rsid w:val="00D47B2F"/>
    <w:rsid w:val="00D5387B"/>
    <w:rsid w:val="00D549AE"/>
    <w:rsid w:val="00D54C65"/>
    <w:rsid w:val="00D5552D"/>
    <w:rsid w:val="00D5554F"/>
    <w:rsid w:val="00D571A4"/>
    <w:rsid w:val="00D575BE"/>
    <w:rsid w:val="00D6114D"/>
    <w:rsid w:val="00D61F0F"/>
    <w:rsid w:val="00D61F2D"/>
    <w:rsid w:val="00D65702"/>
    <w:rsid w:val="00D741AB"/>
    <w:rsid w:val="00D76E62"/>
    <w:rsid w:val="00D82B62"/>
    <w:rsid w:val="00D830D9"/>
    <w:rsid w:val="00D839FE"/>
    <w:rsid w:val="00D874A2"/>
    <w:rsid w:val="00D913DB"/>
    <w:rsid w:val="00D97BEE"/>
    <w:rsid w:val="00DA12A7"/>
    <w:rsid w:val="00DA69DA"/>
    <w:rsid w:val="00DB0170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5283"/>
    <w:rsid w:val="00E17BD5"/>
    <w:rsid w:val="00E17DCE"/>
    <w:rsid w:val="00E30C10"/>
    <w:rsid w:val="00E35088"/>
    <w:rsid w:val="00E40A7B"/>
    <w:rsid w:val="00E55B8E"/>
    <w:rsid w:val="00E55E15"/>
    <w:rsid w:val="00E55FD8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3DF7"/>
    <w:rsid w:val="00EA6E02"/>
    <w:rsid w:val="00EA7C54"/>
    <w:rsid w:val="00EB1609"/>
    <w:rsid w:val="00EB2868"/>
    <w:rsid w:val="00EB506A"/>
    <w:rsid w:val="00EC177C"/>
    <w:rsid w:val="00EC4AFE"/>
    <w:rsid w:val="00EC587F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E68E9"/>
    <w:rsid w:val="00EF3CB8"/>
    <w:rsid w:val="00EF5879"/>
    <w:rsid w:val="00EF6443"/>
    <w:rsid w:val="00F0530E"/>
    <w:rsid w:val="00F1536D"/>
    <w:rsid w:val="00F15E2A"/>
    <w:rsid w:val="00F17F4E"/>
    <w:rsid w:val="00F24B87"/>
    <w:rsid w:val="00F4004C"/>
    <w:rsid w:val="00F412BB"/>
    <w:rsid w:val="00F443B4"/>
    <w:rsid w:val="00F44BE8"/>
    <w:rsid w:val="00F53C10"/>
    <w:rsid w:val="00F64454"/>
    <w:rsid w:val="00F6721C"/>
    <w:rsid w:val="00F72AE8"/>
    <w:rsid w:val="00F76BFB"/>
    <w:rsid w:val="00F77A72"/>
    <w:rsid w:val="00F80ACB"/>
    <w:rsid w:val="00F80E1F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C46FB"/>
    <w:rsid w:val="00FD1227"/>
    <w:rsid w:val="00FD424F"/>
    <w:rsid w:val="00FD4348"/>
    <w:rsid w:val="00FD5360"/>
    <w:rsid w:val="00FE5E73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."/>
  <w:listSeparator w:val=";"/>
  <w14:docId w14:val="6DADA97B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  <w:style w:type="paragraph" w:styleId="Nzev">
    <w:name w:val="Title"/>
    <w:basedOn w:val="Normln"/>
    <w:next w:val="Normln"/>
    <w:link w:val="NzevChar"/>
    <w:qFormat/>
    <w:rsid w:val="000B0E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B0E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locked/>
    <w:rsid w:val="00645ECE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D23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1910</Words>
  <Characters>12035</Characters>
  <Application>Microsoft Office Word</Application>
  <DocSecurity>0</DocSecurity>
  <Lines>100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Juríková Anna</cp:lastModifiedBy>
  <cp:revision>6</cp:revision>
  <cp:lastPrinted>2013-01-16T06:40:00Z</cp:lastPrinted>
  <dcterms:created xsi:type="dcterms:W3CDTF">2018-10-03T09:02:00Z</dcterms:created>
  <dcterms:modified xsi:type="dcterms:W3CDTF">2019-02-06T15:21:00Z</dcterms:modified>
</cp:coreProperties>
</file>